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5215D" w14:textId="77F9BD60" w:rsidR="00A12B68" w:rsidRPr="00CC47CF" w:rsidRDefault="00A12B68" w:rsidP="00A12B68">
      <w:pPr>
        <w:pStyle w:val="3GPPHeader"/>
        <w:spacing w:after="60"/>
        <w:rPr>
          <w:sz w:val="32"/>
          <w:szCs w:val="32"/>
          <w:highlight w:val="yellow"/>
          <w:lang w:val="en-CA"/>
        </w:rPr>
      </w:pPr>
      <w:r w:rsidRPr="00CC47CF">
        <w:rPr>
          <w:lang w:val="en-CA"/>
        </w:rPr>
        <w:t xml:space="preserve">3GPP TSG-RAN </w:t>
      </w:r>
      <w:r>
        <w:rPr>
          <w:lang w:val="en-CA"/>
        </w:rPr>
        <w:t>WG2 #</w:t>
      </w:r>
      <w:r w:rsidR="00BE5156">
        <w:rPr>
          <w:lang w:val="en-CA"/>
        </w:rPr>
        <w:t>106</w:t>
      </w:r>
      <w:r w:rsidRPr="00CC47CF">
        <w:rPr>
          <w:lang w:val="en-CA"/>
        </w:rPr>
        <w:tab/>
      </w:r>
      <w:r w:rsidRPr="00CC47CF">
        <w:rPr>
          <w:sz w:val="32"/>
          <w:szCs w:val="32"/>
          <w:lang w:val="en-CA"/>
        </w:rPr>
        <w:t>Tdoc R2-</w:t>
      </w:r>
      <w:r w:rsidR="00F0513A" w:rsidRPr="00BD11E3">
        <w:rPr>
          <w:sz w:val="32"/>
          <w:szCs w:val="32"/>
          <w:lang w:val="en-CA"/>
        </w:rPr>
        <w:t>19</w:t>
      </w:r>
      <w:r w:rsidR="00F0513A" w:rsidRPr="00F0513A">
        <w:rPr>
          <w:sz w:val="32"/>
          <w:szCs w:val="32"/>
          <w:lang w:val="en-CA"/>
        </w:rPr>
        <w:t>06938</w:t>
      </w:r>
    </w:p>
    <w:p w14:paraId="1AA07094" w14:textId="11B66F25" w:rsidR="00E90E49" w:rsidRPr="00E34D3D" w:rsidRDefault="00BE5156" w:rsidP="00A12B68">
      <w:pPr>
        <w:pStyle w:val="3GPPHeader"/>
      </w:pPr>
      <w:bookmarkStart w:id="0" w:name="_Hlk3390498"/>
      <w:r w:rsidRPr="00E34D3D">
        <w:t xml:space="preserve">Reno, </w:t>
      </w:r>
      <w:r w:rsidR="009365CE" w:rsidRPr="00E34D3D">
        <w:t xml:space="preserve">Nevada, </w:t>
      </w:r>
      <w:r w:rsidRPr="00E34D3D">
        <w:t>US</w:t>
      </w:r>
      <w:r w:rsidR="009365CE" w:rsidRPr="00E34D3D">
        <w:t>A</w:t>
      </w:r>
      <w:r w:rsidRPr="00E34D3D">
        <w:t>, 13</w:t>
      </w:r>
      <w:r w:rsidR="009365CE" w:rsidRPr="00E34D3D">
        <w:rPr>
          <w:vertAlign w:val="superscript"/>
        </w:rPr>
        <w:t>th</w:t>
      </w:r>
      <w:r w:rsidR="009365CE" w:rsidRPr="00E34D3D">
        <w:t xml:space="preserve"> </w:t>
      </w:r>
      <w:r w:rsidRPr="00E34D3D">
        <w:t>– 17</w:t>
      </w:r>
      <w:r w:rsidR="009365CE" w:rsidRPr="00E34D3D">
        <w:rPr>
          <w:vertAlign w:val="superscript"/>
        </w:rPr>
        <w:t>th</w:t>
      </w:r>
      <w:r w:rsidR="009365CE" w:rsidRPr="00E34D3D">
        <w:t xml:space="preserve"> </w:t>
      </w:r>
      <w:r w:rsidRPr="00E34D3D">
        <w:t>May 2019</w:t>
      </w:r>
      <w:bookmarkEnd w:id="0"/>
      <w:r w:rsidR="00A12B68" w:rsidRPr="00E34D3D">
        <w:tab/>
        <w:t>Revision of R2-</w:t>
      </w:r>
      <w:r w:rsidRPr="00E34D3D">
        <w:t>1903831</w:t>
      </w:r>
    </w:p>
    <w:p w14:paraId="770F8EEF" w14:textId="77777777" w:rsidR="00A12B68" w:rsidRPr="00E34D3D" w:rsidRDefault="00A12B68" w:rsidP="00A12B68">
      <w:pPr>
        <w:pStyle w:val="3GPPHeader"/>
      </w:pPr>
    </w:p>
    <w:p w14:paraId="180B8DCC" w14:textId="06D74D86" w:rsidR="00E90E49" w:rsidRPr="00E34D3D" w:rsidRDefault="00E90E49" w:rsidP="00311702">
      <w:pPr>
        <w:pStyle w:val="3GPPHeader"/>
        <w:rPr>
          <w:sz w:val="22"/>
        </w:rPr>
      </w:pPr>
      <w:r w:rsidRPr="00E34D3D">
        <w:rPr>
          <w:sz w:val="22"/>
        </w:rPr>
        <w:t>Agenda Item:</w:t>
      </w:r>
      <w:r w:rsidRPr="00E34D3D">
        <w:rPr>
          <w:sz w:val="22"/>
        </w:rPr>
        <w:tab/>
      </w:r>
      <w:r w:rsidR="00A01AF5" w:rsidRPr="00E34D3D">
        <w:rPr>
          <w:sz w:val="22"/>
        </w:rPr>
        <w:t>12.2.4</w:t>
      </w:r>
    </w:p>
    <w:p w14:paraId="0E4B8F26" w14:textId="77777777" w:rsidR="00E90E49" w:rsidRPr="00E34D3D" w:rsidRDefault="003D3C45" w:rsidP="00F64C2B">
      <w:pPr>
        <w:pStyle w:val="3GPPHeader"/>
        <w:rPr>
          <w:sz w:val="22"/>
        </w:rPr>
      </w:pPr>
      <w:r w:rsidRPr="00E34D3D">
        <w:rPr>
          <w:sz w:val="22"/>
        </w:rPr>
        <w:t>Source:</w:t>
      </w:r>
      <w:r w:rsidR="00E90E49" w:rsidRPr="00E34D3D">
        <w:rPr>
          <w:sz w:val="22"/>
        </w:rPr>
        <w:tab/>
      </w:r>
      <w:r w:rsidR="00F64C2B" w:rsidRPr="00E34D3D">
        <w:rPr>
          <w:sz w:val="22"/>
        </w:rPr>
        <w:t>Ericsson</w:t>
      </w:r>
    </w:p>
    <w:p w14:paraId="03BF5596" w14:textId="3D9EB36E" w:rsidR="00E90E49" w:rsidRPr="00E34D3D" w:rsidRDefault="003D3C45" w:rsidP="00311702">
      <w:pPr>
        <w:pStyle w:val="3GPPHeader"/>
        <w:rPr>
          <w:sz w:val="22"/>
        </w:rPr>
      </w:pPr>
      <w:r w:rsidRPr="00E34D3D">
        <w:rPr>
          <w:sz w:val="22"/>
        </w:rPr>
        <w:t>Title:</w:t>
      </w:r>
      <w:r w:rsidR="00E90E49" w:rsidRPr="00E34D3D">
        <w:rPr>
          <w:sz w:val="22"/>
        </w:rPr>
        <w:tab/>
      </w:r>
      <w:r w:rsidR="007F1D58" w:rsidRPr="00E34D3D">
        <w:rPr>
          <w:sz w:val="22"/>
        </w:rPr>
        <w:t xml:space="preserve">PUR TA validation &amp; </w:t>
      </w:r>
      <w:r w:rsidR="00EC194A" w:rsidRPr="00E34D3D">
        <w:rPr>
          <w:sz w:val="22"/>
        </w:rPr>
        <w:t>r</w:t>
      </w:r>
      <w:r w:rsidR="007F1D58" w:rsidRPr="00E34D3D">
        <w:rPr>
          <w:sz w:val="22"/>
        </w:rPr>
        <w:t xml:space="preserve">elease </w:t>
      </w:r>
    </w:p>
    <w:p w14:paraId="5E43187B" w14:textId="77777777" w:rsidR="00E90E49" w:rsidRPr="00E34D3D" w:rsidRDefault="00E90E49" w:rsidP="00D546FF">
      <w:pPr>
        <w:pStyle w:val="3GPPHeader"/>
        <w:rPr>
          <w:sz w:val="22"/>
        </w:rPr>
      </w:pPr>
      <w:r w:rsidRPr="00E34D3D">
        <w:rPr>
          <w:sz w:val="22"/>
        </w:rPr>
        <w:t>Document for:</w:t>
      </w:r>
      <w:r w:rsidRPr="00E34D3D">
        <w:rPr>
          <w:sz w:val="22"/>
        </w:rPr>
        <w:tab/>
        <w:t>Discussion, Decision</w:t>
      </w:r>
    </w:p>
    <w:p w14:paraId="4F0F2157" w14:textId="77777777" w:rsidR="00E90E49" w:rsidRPr="00E34D3D" w:rsidRDefault="00E90E49" w:rsidP="00E90E49"/>
    <w:p w14:paraId="127EEDB6" w14:textId="77777777" w:rsidR="00E90E49" w:rsidRPr="00CE0424" w:rsidRDefault="00230D18" w:rsidP="001D3480">
      <w:pPr>
        <w:pStyle w:val="Heading1"/>
      </w:pPr>
      <w:r>
        <w:t>1</w:t>
      </w:r>
      <w:r>
        <w:tab/>
      </w:r>
      <w:r w:rsidR="00E90E49" w:rsidRPr="00CE0424">
        <w:t>Introduction</w:t>
      </w:r>
    </w:p>
    <w:p w14:paraId="04CC5526" w14:textId="6BD69861" w:rsidR="00E739EA" w:rsidRPr="00E34D3D" w:rsidRDefault="00E739EA" w:rsidP="00E739EA">
      <w:pPr>
        <w:rPr>
          <w:rFonts w:ascii="Arial" w:hAnsi="Arial" w:cs="Arial"/>
        </w:rPr>
      </w:pPr>
      <w:r w:rsidRPr="00E34D3D">
        <w:rPr>
          <w:rFonts w:ascii="Arial" w:hAnsi="Arial" w:cs="Arial"/>
        </w:rPr>
        <w:t xml:space="preserve">The Rel-16 Work Item Descriptions for LTE-M </w:t>
      </w:r>
      <w:r w:rsidRPr="00E739EA">
        <w:rPr>
          <w:rFonts w:ascii="Arial" w:hAnsi="Arial" w:cs="Arial"/>
        </w:rPr>
        <w:fldChar w:fldCharType="begin"/>
      </w:r>
      <w:r w:rsidRPr="00E34D3D">
        <w:rPr>
          <w:rFonts w:ascii="Arial" w:hAnsi="Arial" w:cs="Arial"/>
        </w:rPr>
        <w:instrText xml:space="preserve"> REF _Ref517702140 \n \h  \* MERGEFORMAT </w:instrText>
      </w:r>
      <w:r w:rsidRPr="00E739EA">
        <w:rPr>
          <w:rFonts w:ascii="Arial" w:hAnsi="Arial" w:cs="Arial"/>
        </w:rPr>
      </w:r>
      <w:r w:rsidRPr="00E739EA">
        <w:rPr>
          <w:rFonts w:ascii="Arial" w:hAnsi="Arial" w:cs="Arial"/>
        </w:rPr>
        <w:fldChar w:fldCharType="separate"/>
      </w:r>
      <w:r w:rsidR="00151E51">
        <w:rPr>
          <w:rFonts w:ascii="Arial" w:hAnsi="Arial" w:cs="Arial"/>
        </w:rPr>
        <w:t>[1]</w:t>
      </w:r>
      <w:r w:rsidRPr="00E739EA">
        <w:rPr>
          <w:rFonts w:ascii="Arial" w:hAnsi="Arial" w:cs="Arial"/>
        </w:rPr>
        <w:fldChar w:fldCharType="end"/>
      </w:r>
      <w:r w:rsidRPr="00E34D3D">
        <w:rPr>
          <w:rFonts w:ascii="Arial" w:hAnsi="Arial" w:cs="Arial"/>
        </w:rPr>
        <w:t xml:space="preserve"> and NB-IoT </w:t>
      </w:r>
      <w:r w:rsidR="00E34D3D">
        <w:rPr>
          <w:rFonts w:ascii="Arial" w:hAnsi="Arial" w:cs="Arial"/>
        </w:rPr>
        <w:fldChar w:fldCharType="begin"/>
      </w:r>
      <w:r w:rsidR="00E34D3D">
        <w:rPr>
          <w:rFonts w:ascii="Arial" w:hAnsi="Arial" w:cs="Arial"/>
        </w:rPr>
        <w:instrText xml:space="preserve"> REF _Ref7736651 \r \h </w:instrText>
      </w:r>
      <w:r w:rsidR="00E34D3D">
        <w:rPr>
          <w:rFonts w:ascii="Arial" w:hAnsi="Arial" w:cs="Arial"/>
        </w:rPr>
      </w:r>
      <w:r w:rsidR="00E34D3D">
        <w:rPr>
          <w:rFonts w:ascii="Arial" w:hAnsi="Arial" w:cs="Arial"/>
        </w:rPr>
        <w:fldChar w:fldCharType="separate"/>
      </w:r>
      <w:r w:rsidR="00151E51">
        <w:rPr>
          <w:rFonts w:ascii="Arial" w:hAnsi="Arial" w:cs="Arial"/>
        </w:rPr>
        <w:t>[2]</w:t>
      </w:r>
      <w:r w:rsidR="00E34D3D">
        <w:rPr>
          <w:rFonts w:ascii="Arial" w:hAnsi="Arial" w:cs="Arial"/>
        </w:rPr>
        <w:fldChar w:fldCharType="end"/>
      </w:r>
      <w:r w:rsidR="00402158" w:rsidRPr="00E34D3D">
        <w:rPr>
          <w:rFonts w:ascii="Arial" w:hAnsi="Arial" w:cs="Arial"/>
        </w:rPr>
        <w:t xml:space="preserve"> </w:t>
      </w:r>
      <w:r w:rsidRPr="00E34D3D">
        <w:rPr>
          <w:rFonts w:ascii="Arial" w:hAnsi="Arial" w:cs="Arial"/>
        </w:rPr>
        <w:t>contain a common objective on improving the uplink transmission efficiency and/or UE power consumption by means of transmission in preconfigured resources:</w:t>
      </w:r>
    </w:p>
    <w:p w14:paraId="2DEB49A7" w14:textId="77777777" w:rsidR="00E739EA" w:rsidRPr="00E34D3D" w:rsidRDefault="00E739EA" w:rsidP="00E739EA">
      <w:pPr>
        <w:spacing w:after="0"/>
        <w:ind w:left="360"/>
        <w:rPr>
          <w:rFonts w:ascii="Arial" w:hAnsi="Arial" w:cs="Arial"/>
          <w:b/>
        </w:rPr>
      </w:pPr>
      <w:r w:rsidRPr="00E34D3D">
        <w:rPr>
          <w:rFonts w:ascii="Arial" w:hAnsi="Arial" w:cs="Arial"/>
          <w:b/>
        </w:rPr>
        <w:t>Improved UL transmission efficiency and/or UE power consumption:</w:t>
      </w:r>
    </w:p>
    <w:p w14:paraId="36756402" w14:textId="49B29BDA" w:rsidR="00E739EA" w:rsidRPr="00E34D3D" w:rsidRDefault="00E739EA" w:rsidP="004C7CC2">
      <w:pPr>
        <w:numPr>
          <w:ilvl w:val="0"/>
          <w:numId w:val="13"/>
        </w:numPr>
        <w:spacing w:after="0"/>
        <w:ind w:left="1080"/>
        <w:rPr>
          <w:rFonts w:ascii="Arial" w:hAnsi="Arial" w:cs="Arial"/>
        </w:rPr>
      </w:pPr>
      <w:bookmarkStart w:id="1" w:name="_Hlk516687799"/>
      <w:r w:rsidRPr="00E34D3D">
        <w:rPr>
          <w:rFonts w:ascii="Arial" w:hAnsi="Arial" w:cs="Arial"/>
        </w:rPr>
        <w:t>Specify support for transmission in preconfigured resources in idle and/or connected mode based on SC-FDMA waveform for UEs with a valid timing advance</w:t>
      </w:r>
      <w:r w:rsidR="00622510" w:rsidRPr="00E34D3D">
        <w:rPr>
          <w:rFonts w:ascii="Arial" w:hAnsi="Arial" w:cs="Arial"/>
        </w:rPr>
        <w:t xml:space="preserve"> </w:t>
      </w:r>
      <w:r w:rsidRPr="00E34D3D">
        <w:rPr>
          <w:rFonts w:ascii="Arial" w:hAnsi="Arial" w:cs="Arial"/>
        </w:rPr>
        <w:t>[RAN1, RAN2</w:t>
      </w:r>
      <w:bookmarkStart w:id="2" w:name="_Hlk516765211"/>
      <w:r w:rsidRPr="00E34D3D">
        <w:rPr>
          <w:rFonts w:ascii="Arial" w:hAnsi="Arial" w:cs="Arial"/>
        </w:rPr>
        <w:t>, RAN</w:t>
      </w:r>
      <w:bookmarkEnd w:id="2"/>
      <w:r w:rsidRPr="00E34D3D">
        <w:rPr>
          <w:rFonts w:ascii="Arial" w:hAnsi="Arial" w:cs="Arial"/>
        </w:rPr>
        <w:t>4]</w:t>
      </w:r>
    </w:p>
    <w:p w14:paraId="508A807C" w14:textId="77777777" w:rsidR="00E739EA" w:rsidRPr="00E34D3D" w:rsidRDefault="00E739EA" w:rsidP="004C7CC2">
      <w:pPr>
        <w:numPr>
          <w:ilvl w:val="1"/>
          <w:numId w:val="13"/>
        </w:numPr>
        <w:spacing w:after="0"/>
        <w:ind w:left="1800"/>
        <w:rPr>
          <w:rFonts w:ascii="Arial" w:hAnsi="Arial" w:cs="Arial"/>
        </w:rPr>
      </w:pPr>
      <w:r w:rsidRPr="00E34D3D">
        <w:rPr>
          <w:rFonts w:ascii="Arial" w:hAnsi="Arial" w:cs="Arial"/>
        </w:rPr>
        <w:t>Both shared resources and dedicated resources can be discussed</w:t>
      </w:r>
    </w:p>
    <w:p w14:paraId="6C6FF421" w14:textId="77777777" w:rsidR="00E739EA" w:rsidRPr="00E34D3D" w:rsidRDefault="00E739EA" w:rsidP="004C7CC2">
      <w:pPr>
        <w:numPr>
          <w:ilvl w:val="1"/>
          <w:numId w:val="13"/>
        </w:numPr>
        <w:spacing w:after="0"/>
        <w:ind w:left="1800"/>
        <w:rPr>
          <w:rFonts w:ascii="Arial" w:hAnsi="Arial" w:cs="Arial"/>
        </w:rPr>
      </w:pPr>
      <w:r w:rsidRPr="00E34D3D">
        <w:rPr>
          <w:rFonts w:ascii="Arial" w:hAnsi="Arial" w:cs="Arial"/>
        </w:rPr>
        <w:t>Note: This is limited to orthogonal (multi) access schemes</w:t>
      </w:r>
      <w:bookmarkEnd w:id="1"/>
    </w:p>
    <w:p w14:paraId="66E0C130" w14:textId="0077C43A" w:rsidR="003E2833" w:rsidRPr="00E34D3D" w:rsidRDefault="003E2833" w:rsidP="00E739EA">
      <w:pPr>
        <w:pStyle w:val="BodyText"/>
      </w:pPr>
    </w:p>
    <w:p w14:paraId="0DAF8598" w14:textId="36ADB2B7" w:rsidR="00060EA0" w:rsidRPr="00E34D3D" w:rsidRDefault="00060EA0" w:rsidP="00E739EA">
      <w:pPr>
        <w:pStyle w:val="BodyText"/>
      </w:pPr>
      <w:r w:rsidRPr="00E34D3D">
        <w:t>In RAN1</w:t>
      </w:r>
      <w:r w:rsidR="006A1E5A" w:rsidRPr="00E34D3D">
        <w:t xml:space="preserve"> </w:t>
      </w:r>
      <w:r w:rsidRPr="00E34D3D">
        <w:t xml:space="preserve">the following agreements </w:t>
      </w:r>
      <w:r w:rsidR="006A1E5A" w:rsidRPr="00E34D3D">
        <w:t xml:space="preserve">have been </w:t>
      </w:r>
      <w:r w:rsidRPr="00E34D3D">
        <w:t>reached for LTE-M and NB-IoT</w:t>
      </w:r>
      <w:r w:rsidR="00E879B6" w:rsidRPr="00E34D3D">
        <w:t xml:space="preserve"> </w:t>
      </w:r>
      <w:r w:rsidR="00F56989" w:rsidRPr="00E34D3D">
        <w:t xml:space="preserve">which are relevant for </w:t>
      </w:r>
      <w:r w:rsidR="00962803" w:rsidRPr="00E34D3D">
        <w:t>this contribution</w:t>
      </w:r>
      <w:r w:rsidR="00F56989" w:rsidRPr="00E34D3D">
        <w:t xml:space="preserve"> </w:t>
      </w:r>
      <w:r w:rsidR="00E879B6" w:rsidRPr="00E34D3D">
        <w:t>(</w:t>
      </w:r>
      <w:r w:rsidR="00ED589D" w:rsidRPr="00E34D3D">
        <w:t>‘LTE-M’ and ‘NB-IoT’ in brackets when not applicable to both)</w:t>
      </w:r>
      <w:r w:rsidRPr="00E34D3D">
        <w:t>:</w:t>
      </w:r>
    </w:p>
    <w:tbl>
      <w:tblPr>
        <w:tblStyle w:val="TableGrid"/>
        <w:tblW w:w="0" w:type="auto"/>
        <w:tblLook w:val="04A0" w:firstRow="1" w:lastRow="0" w:firstColumn="1" w:lastColumn="0" w:noHBand="0" w:noVBand="1"/>
      </w:tblPr>
      <w:tblGrid>
        <w:gridCol w:w="9629"/>
      </w:tblGrid>
      <w:tr w:rsidR="00060EA0" w:rsidRPr="00151E51" w14:paraId="22DE9ABF" w14:textId="77777777" w:rsidTr="00060EA0">
        <w:tc>
          <w:tcPr>
            <w:tcW w:w="9629" w:type="dxa"/>
          </w:tcPr>
          <w:p w14:paraId="3DBC90C5" w14:textId="77777777" w:rsidR="00492103" w:rsidRPr="00E34D3D" w:rsidRDefault="00492103" w:rsidP="00492103">
            <w:pPr>
              <w:spacing w:after="0"/>
              <w:ind w:left="720" w:hanging="720"/>
              <w:rPr>
                <w:rFonts w:ascii="Times New Roman" w:eastAsia="Batang" w:hAnsi="Times New Roman" w:cs="Times New Roman"/>
                <w:szCs w:val="24"/>
                <w:lang w:eastAsia="x-none"/>
              </w:rPr>
            </w:pPr>
          </w:p>
          <w:p w14:paraId="060AA718" w14:textId="77777777" w:rsidR="00492103" w:rsidRPr="00E34D3D" w:rsidRDefault="00492103" w:rsidP="00492103">
            <w:pPr>
              <w:tabs>
                <w:tab w:val="left" w:pos="1701"/>
              </w:tabs>
              <w:spacing w:after="0"/>
              <w:ind w:left="1701" w:hanging="1701"/>
              <w:jc w:val="both"/>
              <w:rPr>
                <w:rFonts w:ascii="Times New Roman" w:hAnsi="Times New Roman" w:cs="Times New Roman"/>
                <w:b/>
                <w:sz w:val="20"/>
                <w:highlight w:val="green"/>
                <w:lang w:eastAsia="zh-CN"/>
              </w:rPr>
            </w:pPr>
            <w:r w:rsidRPr="00E34D3D">
              <w:rPr>
                <w:rFonts w:ascii="Times New Roman" w:hAnsi="Times New Roman" w:cs="Times New Roman"/>
                <w:b/>
                <w:sz w:val="20"/>
                <w:highlight w:val="green"/>
                <w:lang w:eastAsia="zh-CN"/>
              </w:rPr>
              <w:t>Agreement</w:t>
            </w:r>
          </w:p>
          <w:p w14:paraId="61B8E8CE" w14:textId="77777777" w:rsidR="00492103" w:rsidRPr="00E34D3D" w:rsidRDefault="00492103" w:rsidP="00492103">
            <w:pPr>
              <w:tabs>
                <w:tab w:val="left" w:pos="0"/>
              </w:tabs>
              <w:spacing w:after="0"/>
              <w:jc w:val="both"/>
              <w:rPr>
                <w:rFonts w:ascii="Times New Roman" w:hAnsi="Times New Roman" w:cs="Times New Roman"/>
                <w:sz w:val="20"/>
                <w:lang w:eastAsia="zh-CN"/>
              </w:rPr>
            </w:pPr>
            <w:r w:rsidRPr="00E34D3D">
              <w:rPr>
                <w:rFonts w:ascii="Times New Roman" w:hAnsi="Times New Roman" w:cs="Times New Roman"/>
                <w:sz w:val="20"/>
                <w:lang w:eastAsia="zh-CN"/>
              </w:rPr>
              <w:t>In idle mode, the UE will at least consider one or more of the following attributes when validating TA (combination of multiple attributes is allowed):</w:t>
            </w:r>
          </w:p>
          <w:p w14:paraId="0DC823AB" w14:textId="77777777" w:rsidR="00492103" w:rsidRPr="00E34D3D" w:rsidRDefault="00492103" w:rsidP="004C7CC2">
            <w:pPr>
              <w:numPr>
                <w:ilvl w:val="0"/>
                <w:numId w:val="15"/>
              </w:numPr>
              <w:spacing w:after="0"/>
              <w:rPr>
                <w:rFonts w:ascii="Times New Roman" w:eastAsia="Batang" w:hAnsi="Times New Roman" w:cs="Times New Roman"/>
                <w:sz w:val="20"/>
                <w:szCs w:val="24"/>
                <w:lang w:eastAsia="x-none"/>
              </w:rPr>
            </w:pPr>
            <w:r w:rsidRPr="00E34D3D">
              <w:rPr>
                <w:rFonts w:ascii="Times New Roman" w:eastAsia="Batang" w:hAnsi="Times New Roman" w:cs="Times New Roman"/>
                <w:sz w:val="20"/>
                <w:szCs w:val="24"/>
                <w:lang w:eastAsia="x-none"/>
              </w:rPr>
              <w:t>Serving cell changes (serving cell refers the cell that the UE is camping on)</w:t>
            </w:r>
          </w:p>
          <w:p w14:paraId="520D2220" w14:textId="77777777" w:rsidR="00492103" w:rsidRPr="00E34D3D" w:rsidRDefault="00492103" w:rsidP="004C7CC2">
            <w:pPr>
              <w:numPr>
                <w:ilvl w:val="0"/>
                <w:numId w:val="15"/>
              </w:numPr>
              <w:spacing w:after="0"/>
              <w:rPr>
                <w:rFonts w:ascii="Times New Roman" w:eastAsia="Batang" w:hAnsi="Times New Roman" w:cs="Times New Roman"/>
                <w:sz w:val="20"/>
                <w:szCs w:val="24"/>
                <w:lang w:eastAsia="x-none"/>
              </w:rPr>
            </w:pPr>
            <w:r w:rsidRPr="00E34D3D">
              <w:rPr>
                <w:rFonts w:ascii="Times New Roman" w:eastAsia="Batang" w:hAnsi="Times New Roman" w:cs="Times New Roman"/>
                <w:sz w:val="20"/>
                <w:szCs w:val="24"/>
                <w:lang w:eastAsia="x-none"/>
              </w:rPr>
              <w:t xml:space="preserve">Time Alignment Timer for idle mode </w:t>
            </w:r>
          </w:p>
          <w:p w14:paraId="5CE2F8A5" w14:textId="77777777" w:rsidR="00492103" w:rsidRPr="00E34D3D" w:rsidRDefault="00492103" w:rsidP="004C7CC2">
            <w:pPr>
              <w:numPr>
                <w:ilvl w:val="0"/>
                <w:numId w:val="15"/>
              </w:numPr>
              <w:spacing w:after="0"/>
              <w:rPr>
                <w:rFonts w:ascii="Times New Roman" w:eastAsia="Batang" w:hAnsi="Times New Roman" w:cs="Times New Roman"/>
                <w:sz w:val="20"/>
                <w:szCs w:val="24"/>
                <w:lang w:eastAsia="x-none"/>
              </w:rPr>
            </w:pPr>
            <w:r w:rsidRPr="00E34D3D">
              <w:rPr>
                <w:rFonts w:ascii="Times New Roman" w:eastAsia="Batang" w:hAnsi="Times New Roman" w:cs="Times New Roman"/>
                <w:sz w:val="20"/>
                <w:szCs w:val="24"/>
                <w:lang w:eastAsia="x-none"/>
              </w:rPr>
              <w:t>Serving cell RSRP changes (serving cell refers the cell that the UE is camping on)</w:t>
            </w:r>
          </w:p>
          <w:p w14:paraId="0A69B5AD" w14:textId="77777777" w:rsidR="00492103" w:rsidRPr="009B6432" w:rsidRDefault="00492103" w:rsidP="004C7CC2">
            <w:pPr>
              <w:numPr>
                <w:ilvl w:val="0"/>
                <w:numId w:val="15"/>
              </w:numPr>
              <w:spacing w:after="0"/>
              <w:rPr>
                <w:rFonts w:ascii="Times New Roman" w:eastAsia="Batang" w:hAnsi="Times New Roman" w:cs="Times New Roman"/>
                <w:sz w:val="20"/>
                <w:szCs w:val="24"/>
                <w:lang w:eastAsia="x-none"/>
              </w:rPr>
            </w:pPr>
            <w:r w:rsidRPr="009B6432">
              <w:rPr>
                <w:rFonts w:ascii="Times New Roman" w:eastAsia="Batang" w:hAnsi="Times New Roman" w:cs="Times New Roman"/>
                <w:sz w:val="20"/>
                <w:szCs w:val="24"/>
                <w:lang w:eastAsia="x-none"/>
              </w:rPr>
              <w:t xml:space="preserve">FFS Other attributes: </w:t>
            </w:r>
          </w:p>
          <w:p w14:paraId="146B5843" w14:textId="77777777" w:rsidR="00492103" w:rsidRPr="009B6432" w:rsidRDefault="00492103" w:rsidP="004C7CC2">
            <w:pPr>
              <w:numPr>
                <w:ilvl w:val="1"/>
                <w:numId w:val="15"/>
              </w:numPr>
              <w:spacing w:after="0"/>
              <w:rPr>
                <w:rFonts w:ascii="Times New Roman" w:eastAsia="Batang" w:hAnsi="Times New Roman" w:cs="Times New Roman"/>
                <w:sz w:val="20"/>
                <w:szCs w:val="24"/>
                <w:lang w:eastAsia="x-none"/>
              </w:rPr>
            </w:pPr>
            <w:r w:rsidRPr="009B6432">
              <w:rPr>
                <w:rFonts w:ascii="Times New Roman" w:eastAsia="Batang" w:hAnsi="Times New Roman" w:cs="Times New Roman"/>
                <w:sz w:val="20"/>
                <w:szCs w:val="24"/>
                <w:lang w:eastAsia="x-none"/>
              </w:rPr>
              <w:t>Neighbour cell RSRP change</w:t>
            </w:r>
          </w:p>
          <w:p w14:paraId="7525AE78" w14:textId="77777777" w:rsidR="00492103" w:rsidRPr="009B6432" w:rsidRDefault="00492103" w:rsidP="004C7CC2">
            <w:pPr>
              <w:numPr>
                <w:ilvl w:val="1"/>
                <w:numId w:val="15"/>
              </w:numPr>
              <w:spacing w:after="0"/>
              <w:rPr>
                <w:rFonts w:ascii="Times New Roman" w:eastAsia="Batang" w:hAnsi="Times New Roman" w:cs="Times New Roman"/>
                <w:sz w:val="20"/>
                <w:szCs w:val="24"/>
                <w:lang w:eastAsia="x-none"/>
              </w:rPr>
            </w:pPr>
            <w:r w:rsidRPr="009B6432">
              <w:rPr>
                <w:rFonts w:ascii="Times New Roman" w:eastAsia="Batang" w:hAnsi="Times New Roman" w:cs="Times New Roman"/>
                <w:sz w:val="20"/>
                <w:szCs w:val="24"/>
                <w:lang w:eastAsia="x-none"/>
              </w:rPr>
              <w:t xml:space="preserve">TDOA of &gt;=2 eNBs </w:t>
            </w:r>
          </w:p>
          <w:p w14:paraId="41A33146" w14:textId="77777777" w:rsidR="00492103" w:rsidRPr="009B6432" w:rsidRDefault="00492103" w:rsidP="004C7CC2">
            <w:pPr>
              <w:numPr>
                <w:ilvl w:val="1"/>
                <w:numId w:val="15"/>
              </w:numPr>
              <w:spacing w:after="0"/>
              <w:rPr>
                <w:rFonts w:ascii="Times New Roman" w:eastAsia="Batang" w:hAnsi="Times New Roman" w:cs="Times New Roman"/>
                <w:sz w:val="20"/>
                <w:szCs w:val="24"/>
                <w:lang w:eastAsia="x-none"/>
              </w:rPr>
            </w:pPr>
            <w:r w:rsidRPr="009B6432">
              <w:rPr>
                <w:rFonts w:ascii="Times New Roman" w:eastAsia="Batang" w:hAnsi="Times New Roman" w:cs="Times New Roman"/>
                <w:sz w:val="20"/>
                <w:szCs w:val="24"/>
                <w:lang w:eastAsia="x-none"/>
              </w:rPr>
              <w:t>TA History</w:t>
            </w:r>
          </w:p>
          <w:p w14:paraId="2CA611B0" w14:textId="77777777" w:rsidR="00492103" w:rsidRPr="009B6432" w:rsidRDefault="00492103" w:rsidP="004C7CC2">
            <w:pPr>
              <w:numPr>
                <w:ilvl w:val="1"/>
                <w:numId w:val="15"/>
              </w:numPr>
              <w:spacing w:after="0"/>
              <w:rPr>
                <w:rFonts w:ascii="Times New Roman" w:eastAsia="Batang" w:hAnsi="Times New Roman" w:cs="Times New Roman"/>
                <w:sz w:val="20"/>
                <w:szCs w:val="24"/>
                <w:lang w:eastAsia="x-none"/>
              </w:rPr>
            </w:pPr>
            <w:r w:rsidRPr="009B6432">
              <w:rPr>
                <w:rFonts w:ascii="Times New Roman" w:eastAsia="Batang" w:hAnsi="Times New Roman" w:cs="Times New Roman"/>
                <w:sz w:val="20"/>
                <w:szCs w:val="24"/>
                <w:lang w:eastAsia="x-none"/>
              </w:rPr>
              <w:t>Subscription based UE differentiation</w:t>
            </w:r>
          </w:p>
          <w:p w14:paraId="7A015CCF" w14:textId="77777777" w:rsidR="00492103" w:rsidRPr="00E34D3D" w:rsidRDefault="00492103" w:rsidP="004C7CC2">
            <w:pPr>
              <w:numPr>
                <w:ilvl w:val="1"/>
                <w:numId w:val="15"/>
              </w:numPr>
              <w:spacing w:after="0"/>
              <w:rPr>
                <w:rFonts w:ascii="Times New Roman" w:eastAsia="Batang" w:hAnsi="Times New Roman" w:cs="Times New Roman"/>
                <w:sz w:val="20"/>
                <w:szCs w:val="24"/>
                <w:lang w:eastAsia="x-none"/>
              </w:rPr>
            </w:pPr>
            <w:r w:rsidRPr="00E34D3D">
              <w:rPr>
                <w:rFonts w:ascii="Times New Roman" w:eastAsia="Batang" w:hAnsi="Times New Roman" w:cs="Times New Roman"/>
                <w:sz w:val="20"/>
                <w:szCs w:val="24"/>
                <w:lang w:eastAsia="x-none"/>
              </w:rPr>
              <w:t>Others not precluded (for example, attributes that need to be considered for high mobility UEs)</w:t>
            </w:r>
          </w:p>
          <w:p w14:paraId="2152632B" w14:textId="77777777" w:rsidR="00492103" w:rsidRPr="00E34D3D" w:rsidRDefault="00492103" w:rsidP="00492103">
            <w:pPr>
              <w:tabs>
                <w:tab w:val="left" w:pos="0"/>
              </w:tabs>
              <w:spacing w:after="0"/>
              <w:jc w:val="both"/>
              <w:rPr>
                <w:rFonts w:ascii="Times New Roman" w:hAnsi="Times New Roman" w:cs="Times New Roman"/>
                <w:sz w:val="20"/>
                <w:lang w:eastAsia="zh-CN"/>
              </w:rPr>
            </w:pPr>
            <w:r w:rsidRPr="00E34D3D">
              <w:rPr>
                <w:rFonts w:ascii="Times New Roman" w:hAnsi="Times New Roman" w:cs="Times New Roman"/>
                <w:sz w:val="20"/>
                <w:lang w:eastAsia="zh-CN"/>
              </w:rPr>
              <w:t xml:space="preserve">Note that UE power consumption should be </w:t>
            </w:r>
            <w:proofErr w:type="gramStart"/>
            <w:r w:rsidRPr="00E34D3D">
              <w:rPr>
                <w:rFonts w:ascii="Times New Roman" w:hAnsi="Times New Roman" w:cs="Times New Roman"/>
                <w:sz w:val="20"/>
                <w:lang w:eastAsia="zh-CN"/>
              </w:rPr>
              <w:t>taken into account</w:t>
            </w:r>
            <w:proofErr w:type="gramEnd"/>
            <w:r w:rsidRPr="00E34D3D">
              <w:rPr>
                <w:rFonts w:ascii="Times New Roman" w:hAnsi="Times New Roman" w:cs="Times New Roman"/>
                <w:sz w:val="20"/>
                <w:lang w:eastAsia="zh-CN"/>
              </w:rPr>
              <w:t xml:space="preserve"> for the FFS attributes</w:t>
            </w:r>
          </w:p>
          <w:p w14:paraId="2B675665" w14:textId="77777777" w:rsidR="009A3304" w:rsidRPr="00E34D3D" w:rsidRDefault="009A3304" w:rsidP="00774432">
            <w:pPr>
              <w:spacing w:after="0"/>
              <w:rPr>
                <w:rFonts w:ascii="Times New Roman" w:eastAsia="Batang" w:hAnsi="Times New Roman" w:cs="Times New Roman"/>
                <w:sz w:val="20"/>
                <w:szCs w:val="24"/>
                <w:lang w:eastAsia="x-none"/>
              </w:rPr>
            </w:pPr>
          </w:p>
          <w:p w14:paraId="366A318A" w14:textId="77777777" w:rsidR="009A3304" w:rsidRPr="00E34D3D" w:rsidRDefault="009A3304" w:rsidP="009A3304">
            <w:pPr>
              <w:spacing w:after="0"/>
              <w:ind w:left="720" w:hanging="720"/>
              <w:rPr>
                <w:rFonts w:ascii="Times New Roman" w:eastAsia="Batang" w:hAnsi="Times New Roman" w:cs="Times New Roman"/>
                <w:b/>
                <w:sz w:val="20"/>
                <w:highlight w:val="green"/>
              </w:rPr>
            </w:pPr>
            <w:bookmarkStart w:id="3" w:name="_Hlk4356569"/>
            <w:r w:rsidRPr="00E34D3D">
              <w:rPr>
                <w:rFonts w:ascii="Times New Roman" w:eastAsia="Batang" w:hAnsi="Times New Roman" w:cs="Times New Roman"/>
                <w:b/>
                <w:sz w:val="20"/>
                <w:highlight w:val="green"/>
              </w:rPr>
              <w:t xml:space="preserve">Agreement </w:t>
            </w:r>
          </w:p>
          <w:p w14:paraId="22FB5499" w14:textId="77777777" w:rsidR="009A3304" w:rsidRPr="00E34D3D" w:rsidRDefault="009A3304" w:rsidP="009A3304">
            <w:pPr>
              <w:spacing w:after="0"/>
              <w:rPr>
                <w:rFonts w:ascii="Times New Roman" w:eastAsia="Batang" w:hAnsi="Times New Roman" w:cs="Times New Roman"/>
                <w:sz w:val="20"/>
              </w:rPr>
            </w:pPr>
            <w:r w:rsidRPr="00E34D3D">
              <w:rPr>
                <w:rFonts w:ascii="Times New Roman" w:eastAsia="Batang" w:hAnsi="Times New Roman" w:cs="Times New Roman"/>
                <w:sz w:val="20"/>
              </w:rPr>
              <w:t>For UL transmission in preconfigured resource, fallback mechanism to RACH/EDT procedures is supported.</w:t>
            </w:r>
          </w:p>
          <w:bookmarkEnd w:id="3"/>
          <w:p w14:paraId="1EE946C7" w14:textId="77777777" w:rsidR="009A3304" w:rsidRPr="00E34D3D" w:rsidRDefault="009A3304" w:rsidP="009A3304">
            <w:pPr>
              <w:spacing w:after="0"/>
              <w:ind w:left="720" w:hanging="720"/>
              <w:rPr>
                <w:rFonts w:ascii="Times New Roman" w:eastAsia="Batang" w:hAnsi="Times New Roman" w:cs="Times New Roman"/>
                <w:sz w:val="20"/>
                <w:szCs w:val="24"/>
                <w:lang w:eastAsia="x-none"/>
              </w:rPr>
            </w:pPr>
          </w:p>
          <w:p w14:paraId="764D07EC" w14:textId="77777777" w:rsidR="009A3304" w:rsidRPr="00E34D3D" w:rsidRDefault="009A3304" w:rsidP="009A3304">
            <w:pPr>
              <w:spacing w:after="0"/>
              <w:rPr>
                <w:rFonts w:ascii="Times New Roman" w:eastAsia="Batang" w:hAnsi="Times New Roman" w:cs="Times New Roman"/>
                <w:b/>
                <w:sz w:val="20"/>
                <w:szCs w:val="24"/>
                <w:highlight w:val="green"/>
                <w:lang w:eastAsia="zh-CN"/>
              </w:rPr>
            </w:pPr>
            <w:r w:rsidRPr="00E34D3D">
              <w:rPr>
                <w:rFonts w:ascii="Times New Roman" w:eastAsia="Batang" w:hAnsi="Times New Roman" w:cs="Times New Roman"/>
                <w:b/>
                <w:sz w:val="20"/>
                <w:szCs w:val="24"/>
                <w:highlight w:val="green"/>
                <w:lang w:eastAsia="zh-CN"/>
              </w:rPr>
              <w:t>Agreement</w:t>
            </w:r>
          </w:p>
          <w:p w14:paraId="0435DB74" w14:textId="77777777" w:rsidR="009A3304" w:rsidRPr="00E34D3D" w:rsidRDefault="009A3304" w:rsidP="009A3304">
            <w:pPr>
              <w:spacing w:after="0"/>
              <w:rPr>
                <w:rFonts w:ascii="Times New Roman" w:eastAsia="Batang" w:hAnsi="Times New Roman" w:cs="Times New Roman"/>
                <w:sz w:val="20"/>
                <w:szCs w:val="24"/>
                <w:lang w:eastAsia="x-none"/>
              </w:rPr>
            </w:pPr>
            <w:r w:rsidRPr="00E34D3D">
              <w:rPr>
                <w:rFonts w:ascii="Times New Roman" w:eastAsia="Batang" w:hAnsi="Times New Roman" w:cs="Times New Roman"/>
                <w:sz w:val="20"/>
                <w:szCs w:val="24"/>
                <w:lang w:eastAsia="zh-CN"/>
              </w:rPr>
              <w:t>For transmission in preconfigured UL resources</w:t>
            </w:r>
            <w:r w:rsidRPr="00E34D3D">
              <w:rPr>
                <w:rFonts w:ascii="Times New Roman" w:eastAsia="Batang" w:hAnsi="Times New Roman" w:cs="Times New Roman"/>
                <w:sz w:val="20"/>
                <w:szCs w:val="24"/>
              </w:rPr>
              <w:t>,</w:t>
            </w:r>
            <w:r w:rsidRPr="00E34D3D">
              <w:rPr>
                <w:rFonts w:ascii="Times New Roman" w:eastAsia="Batang" w:hAnsi="Times New Roman" w:cs="Times New Roman"/>
                <w:sz w:val="20"/>
                <w:szCs w:val="24"/>
                <w:lang w:eastAsia="zh-CN"/>
              </w:rPr>
              <w:t xml:space="preserve"> </w:t>
            </w:r>
            <w:r w:rsidRPr="00E34D3D">
              <w:rPr>
                <w:rFonts w:ascii="Times New Roman" w:eastAsia="Batang" w:hAnsi="Times New Roman" w:cs="Times New Roman"/>
                <w:sz w:val="20"/>
                <w:szCs w:val="24"/>
              </w:rPr>
              <w:t>a</w:t>
            </w:r>
            <w:r w:rsidRPr="00E34D3D">
              <w:rPr>
                <w:rFonts w:ascii="Times New Roman" w:eastAsia="Batang" w:hAnsi="Times New Roman" w:cs="Times New Roman"/>
                <w:sz w:val="20"/>
                <w:szCs w:val="24"/>
                <w:lang w:eastAsia="x-none"/>
              </w:rPr>
              <w:t>n RRC idle UE may use the latest TA that passed the validation criteria</w:t>
            </w:r>
          </w:p>
          <w:p w14:paraId="7DCC8DC2" w14:textId="77777777" w:rsidR="009A3304" w:rsidRPr="00E34D3D" w:rsidRDefault="009A3304" w:rsidP="00060EA0">
            <w:pPr>
              <w:spacing w:after="0" w:line="240" w:lineRule="auto"/>
              <w:rPr>
                <w:rFonts w:ascii="Times" w:eastAsia="Batang" w:hAnsi="Times" w:cs="Times New Roman"/>
                <w:sz w:val="20"/>
                <w:szCs w:val="24"/>
                <w:lang w:eastAsia="x-none"/>
              </w:rPr>
            </w:pPr>
          </w:p>
          <w:p w14:paraId="30FE97E5" w14:textId="2F63BD13" w:rsidR="00060EA0" w:rsidRPr="00060EA0" w:rsidRDefault="00060EA0" w:rsidP="00060EA0">
            <w:pPr>
              <w:spacing w:after="0" w:line="240" w:lineRule="auto"/>
              <w:ind w:left="1134" w:hanging="1134"/>
              <w:jc w:val="both"/>
              <w:rPr>
                <w:rFonts w:ascii="Times New Roman" w:eastAsia="MS Mincho" w:hAnsi="Times New Roman" w:cs="Times New Roman"/>
                <w:b/>
                <w:sz w:val="20"/>
                <w:szCs w:val="20"/>
                <w:highlight w:val="green"/>
                <w:lang w:val="en-GB" w:eastAsia="sv-SE"/>
              </w:rPr>
            </w:pPr>
            <w:r w:rsidRPr="00060EA0">
              <w:rPr>
                <w:rFonts w:ascii="Times New Roman" w:eastAsia="MS Mincho" w:hAnsi="Times New Roman" w:cs="Times New Roman"/>
                <w:b/>
                <w:sz w:val="20"/>
                <w:szCs w:val="20"/>
                <w:highlight w:val="green"/>
                <w:lang w:val="en-GB" w:eastAsia="sv-SE"/>
              </w:rPr>
              <w:lastRenderedPageBreak/>
              <w:t xml:space="preserve">Agreement </w:t>
            </w:r>
          </w:p>
          <w:p w14:paraId="3215F40C" w14:textId="77777777" w:rsidR="00060EA0" w:rsidRPr="00060EA0" w:rsidRDefault="00060EA0" w:rsidP="00060EA0">
            <w:pPr>
              <w:spacing w:after="0" w:line="240" w:lineRule="auto"/>
              <w:jc w:val="both"/>
              <w:rPr>
                <w:rFonts w:ascii="Times New Roman" w:eastAsia="MS Mincho" w:hAnsi="Times New Roman" w:cs="Times New Roman"/>
                <w:sz w:val="20"/>
                <w:szCs w:val="20"/>
                <w:lang w:val="en-GB" w:eastAsia="sv-SE"/>
              </w:rPr>
            </w:pPr>
            <w:r w:rsidRPr="00060EA0">
              <w:rPr>
                <w:rFonts w:ascii="Times New Roman" w:eastAsia="MS Mincho" w:hAnsi="Times New Roman" w:cs="Times New Roman"/>
                <w:sz w:val="20"/>
                <w:szCs w:val="20"/>
                <w:lang w:val="en-GB" w:eastAsia="sv-SE"/>
              </w:rPr>
              <w:t>In idle mode, at least the following TA validation attributes are supported:</w:t>
            </w:r>
          </w:p>
          <w:p w14:paraId="0F40519F" w14:textId="77777777" w:rsidR="00060EA0" w:rsidRPr="00E34D3D" w:rsidRDefault="00060EA0" w:rsidP="004C7CC2">
            <w:pPr>
              <w:numPr>
                <w:ilvl w:val="0"/>
                <w:numId w:val="17"/>
              </w:numPr>
              <w:spacing w:after="0" w:line="240" w:lineRule="auto"/>
              <w:rPr>
                <w:rFonts w:ascii="Times" w:eastAsia="Batang" w:hAnsi="Times" w:cs="Times New Roman"/>
                <w:sz w:val="20"/>
                <w:szCs w:val="24"/>
                <w:lang w:eastAsia="x-none"/>
              </w:rPr>
            </w:pPr>
            <w:r w:rsidRPr="00E34D3D">
              <w:rPr>
                <w:rFonts w:ascii="Times" w:eastAsia="Batang" w:hAnsi="Times" w:cs="Times New Roman"/>
                <w:sz w:val="20"/>
                <w:szCs w:val="24"/>
                <w:lang w:eastAsia="x-none"/>
              </w:rPr>
              <w:t>Serving cell changes (serving cell refers the cell that the UE is camping on)</w:t>
            </w:r>
          </w:p>
          <w:p w14:paraId="3187EB66" w14:textId="77777777" w:rsidR="00060EA0" w:rsidRPr="00E34D3D" w:rsidRDefault="00060EA0" w:rsidP="004C7CC2">
            <w:pPr>
              <w:numPr>
                <w:ilvl w:val="0"/>
                <w:numId w:val="17"/>
              </w:numPr>
              <w:spacing w:after="0" w:line="240" w:lineRule="auto"/>
              <w:rPr>
                <w:rFonts w:ascii="Times" w:eastAsia="Batang" w:hAnsi="Times" w:cs="Times New Roman"/>
                <w:sz w:val="20"/>
                <w:szCs w:val="24"/>
                <w:lang w:eastAsia="x-none"/>
              </w:rPr>
            </w:pPr>
            <w:r w:rsidRPr="00E34D3D">
              <w:rPr>
                <w:rFonts w:ascii="Times" w:eastAsia="Batang" w:hAnsi="Times" w:cs="Times New Roman"/>
                <w:sz w:val="20"/>
                <w:szCs w:val="24"/>
                <w:lang w:eastAsia="x-none"/>
              </w:rPr>
              <w:t xml:space="preserve">Time Alignment Timer for idle mode </w:t>
            </w:r>
          </w:p>
          <w:p w14:paraId="465E6918" w14:textId="07F4A96A" w:rsidR="00060EA0" w:rsidRPr="00E34D3D" w:rsidRDefault="00060EA0" w:rsidP="004C7CC2">
            <w:pPr>
              <w:numPr>
                <w:ilvl w:val="0"/>
                <w:numId w:val="17"/>
              </w:numPr>
              <w:spacing w:after="0" w:line="240" w:lineRule="auto"/>
              <w:rPr>
                <w:rFonts w:ascii="Times" w:eastAsia="Batang" w:hAnsi="Times" w:cs="Times New Roman"/>
                <w:sz w:val="20"/>
                <w:szCs w:val="24"/>
                <w:lang w:eastAsia="x-none"/>
              </w:rPr>
            </w:pPr>
            <w:r w:rsidRPr="00E34D3D">
              <w:rPr>
                <w:rFonts w:ascii="Times" w:eastAsia="Batang" w:hAnsi="Times" w:cs="Times New Roman"/>
                <w:sz w:val="20"/>
                <w:szCs w:val="24"/>
                <w:lang w:eastAsia="x-none"/>
              </w:rPr>
              <w:t xml:space="preserve">Serving cell </w:t>
            </w:r>
            <w:r w:rsidR="00A154D3" w:rsidRPr="00E34D3D">
              <w:rPr>
                <w:rFonts w:ascii="Times" w:eastAsia="Batang" w:hAnsi="Times" w:cs="Times New Roman"/>
                <w:sz w:val="20"/>
                <w:szCs w:val="24"/>
                <w:lang w:eastAsia="x-none"/>
              </w:rPr>
              <w:t>(N)</w:t>
            </w:r>
            <w:r w:rsidRPr="00E34D3D">
              <w:rPr>
                <w:rFonts w:ascii="Times" w:eastAsia="Batang" w:hAnsi="Times" w:cs="Times New Roman"/>
                <w:sz w:val="20"/>
                <w:szCs w:val="24"/>
                <w:lang w:eastAsia="x-none"/>
              </w:rPr>
              <w:t>RSRP changes (serving cell refers the cell that the UE is camping on)</w:t>
            </w:r>
          </w:p>
          <w:p w14:paraId="29BEB0DE" w14:textId="54D64B9D" w:rsidR="00060EA0" w:rsidRPr="00E34D3D" w:rsidRDefault="00060EA0" w:rsidP="004C7CC2">
            <w:pPr>
              <w:numPr>
                <w:ilvl w:val="1"/>
                <w:numId w:val="17"/>
              </w:numPr>
              <w:spacing w:after="0" w:line="240" w:lineRule="auto"/>
              <w:rPr>
                <w:rFonts w:ascii="Times" w:eastAsia="Batang" w:hAnsi="Times" w:cs="Times New Roman"/>
                <w:sz w:val="20"/>
                <w:szCs w:val="24"/>
                <w:lang w:eastAsia="x-none"/>
              </w:rPr>
            </w:pPr>
            <w:r w:rsidRPr="00E34D3D">
              <w:rPr>
                <w:rFonts w:ascii="Times" w:eastAsia="Batang" w:hAnsi="Times" w:cs="Times New Roman"/>
                <w:sz w:val="20"/>
                <w:szCs w:val="24"/>
                <w:lang w:eastAsia="x-none"/>
              </w:rPr>
              <w:t xml:space="preserve">Based on </w:t>
            </w:r>
            <w:r w:rsidR="00A154D3" w:rsidRPr="00E34D3D">
              <w:rPr>
                <w:rFonts w:ascii="Times" w:eastAsia="Batang" w:hAnsi="Times" w:cs="Times New Roman"/>
                <w:sz w:val="20"/>
                <w:szCs w:val="24"/>
                <w:lang w:eastAsia="x-none"/>
              </w:rPr>
              <w:t>(N)</w:t>
            </w:r>
            <w:r w:rsidRPr="00E34D3D">
              <w:rPr>
                <w:rFonts w:ascii="Times" w:eastAsia="Batang" w:hAnsi="Times" w:cs="Times New Roman"/>
                <w:sz w:val="20"/>
                <w:szCs w:val="24"/>
                <w:lang w:eastAsia="x-none"/>
              </w:rPr>
              <w:t>RSRP measurement definition in existing Rel-15 TS36.214</w:t>
            </w:r>
          </w:p>
          <w:p w14:paraId="35C428EF" w14:textId="7E73C814" w:rsidR="00A154D3" w:rsidRPr="00060EA0" w:rsidRDefault="00A154D3" w:rsidP="00060EA0">
            <w:pPr>
              <w:spacing w:after="0" w:line="240" w:lineRule="auto"/>
              <w:rPr>
                <w:rFonts w:ascii="Times" w:eastAsia="Batang" w:hAnsi="Times" w:cs="Times New Roman"/>
                <w:sz w:val="20"/>
                <w:szCs w:val="24"/>
                <w:lang w:val="en-GB" w:eastAsia="x-none"/>
              </w:rPr>
            </w:pPr>
          </w:p>
          <w:p w14:paraId="2EE90685" w14:textId="77777777" w:rsidR="00060EA0" w:rsidRPr="00E34D3D" w:rsidRDefault="00060EA0" w:rsidP="00060EA0">
            <w:pPr>
              <w:spacing w:after="0" w:line="240" w:lineRule="auto"/>
              <w:ind w:left="1134" w:hanging="1134"/>
              <w:jc w:val="both"/>
              <w:rPr>
                <w:rFonts w:ascii="Times New Roman" w:eastAsia="Times New Roman" w:hAnsi="Times New Roman" w:cs="Times New Roman"/>
                <w:b/>
                <w:sz w:val="20"/>
                <w:szCs w:val="24"/>
                <w:highlight w:val="green"/>
              </w:rPr>
            </w:pPr>
            <w:r w:rsidRPr="00E34D3D">
              <w:rPr>
                <w:rFonts w:ascii="Times New Roman" w:eastAsia="Times New Roman" w:hAnsi="Times New Roman" w:cs="Times New Roman"/>
                <w:b/>
                <w:sz w:val="20"/>
                <w:szCs w:val="24"/>
                <w:highlight w:val="green"/>
              </w:rPr>
              <w:t>Agreement</w:t>
            </w:r>
          </w:p>
          <w:p w14:paraId="3CABDFFA" w14:textId="77777777" w:rsidR="00060EA0" w:rsidRPr="00E34D3D" w:rsidRDefault="00060EA0" w:rsidP="00060EA0">
            <w:pPr>
              <w:spacing w:after="0" w:line="240" w:lineRule="auto"/>
              <w:jc w:val="both"/>
              <w:rPr>
                <w:rFonts w:ascii="Times New Roman" w:eastAsia="Times New Roman" w:hAnsi="Times New Roman" w:cs="Times New Roman"/>
                <w:sz w:val="20"/>
                <w:szCs w:val="24"/>
              </w:rPr>
            </w:pPr>
            <w:r w:rsidRPr="00E34D3D">
              <w:rPr>
                <w:rFonts w:ascii="Times New Roman" w:eastAsia="Times New Roman" w:hAnsi="Times New Roman" w:cs="Times New Roman"/>
                <w:sz w:val="20"/>
                <w:szCs w:val="24"/>
              </w:rPr>
              <w:t>The UE can be configured to use at least these TA validation attributes:</w:t>
            </w:r>
          </w:p>
          <w:p w14:paraId="28BC547C" w14:textId="77777777" w:rsidR="00060EA0" w:rsidRPr="00E34D3D" w:rsidRDefault="00060EA0" w:rsidP="004C7CC2">
            <w:pPr>
              <w:numPr>
                <w:ilvl w:val="0"/>
                <w:numId w:val="17"/>
              </w:numPr>
              <w:spacing w:after="0" w:line="240" w:lineRule="auto"/>
              <w:rPr>
                <w:rFonts w:ascii="Times New Roman" w:eastAsia="Batang" w:hAnsi="Times New Roman" w:cs="Times New Roman"/>
                <w:sz w:val="20"/>
                <w:szCs w:val="24"/>
                <w:lang w:eastAsia="x-none"/>
              </w:rPr>
            </w:pPr>
            <w:r w:rsidRPr="00E34D3D">
              <w:rPr>
                <w:rFonts w:ascii="Times New Roman" w:eastAsia="Batang" w:hAnsi="Times New Roman" w:cs="Times New Roman"/>
                <w:sz w:val="20"/>
                <w:szCs w:val="24"/>
                <w:lang w:eastAsia="x-none"/>
              </w:rPr>
              <w:t xml:space="preserve">Time Alignment Timer for idle mode </w:t>
            </w:r>
          </w:p>
          <w:p w14:paraId="5C01EAA4" w14:textId="77777777" w:rsidR="00060EA0" w:rsidRPr="00060EA0" w:rsidRDefault="00060EA0" w:rsidP="004C7CC2">
            <w:pPr>
              <w:numPr>
                <w:ilvl w:val="0"/>
                <w:numId w:val="17"/>
              </w:numPr>
              <w:spacing w:after="0" w:line="240" w:lineRule="auto"/>
              <w:rPr>
                <w:rFonts w:ascii="Times New Roman" w:eastAsia="Batang" w:hAnsi="Times New Roman" w:cs="Times New Roman"/>
                <w:sz w:val="20"/>
                <w:szCs w:val="24"/>
                <w:lang w:eastAsia="x-none"/>
              </w:rPr>
            </w:pPr>
            <w:r w:rsidRPr="00060EA0">
              <w:rPr>
                <w:rFonts w:ascii="Times New Roman" w:eastAsia="Batang" w:hAnsi="Times New Roman" w:cs="Times New Roman"/>
                <w:sz w:val="20"/>
                <w:szCs w:val="24"/>
                <w:lang w:eastAsia="x-none"/>
              </w:rPr>
              <w:t xml:space="preserve">Serving cell RSRP changes </w:t>
            </w:r>
          </w:p>
          <w:p w14:paraId="50938E5D" w14:textId="77777777" w:rsidR="00060EA0" w:rsidRPr="00E34D3D" w:rsidRDefault="00060EA0" w:rsidP="004C7CC2">
            <w:pPr>
              <w:numPr>
                <w:ilvl w:val="0"/>
                <w:numId w:val="17"/>
              </w:numPr>
              <w:spacing w:after="0" w:line="240" w:lineRule="auto"/>
              <w:rPr>
                <w:rFonts w:ascii="Times New Roman" w:eastAsia="Batang" w:hAnsi="Times New Roman" w:cs="Times New Roman"/>
                <w:sz w:val="20"/>
                <w:szCs w:val="24"/>
                <w:lang w:eastAsia="x-none"/>
              </w:rPr>
            </w:pPr>
            <w:r w:rsidRPr="00E34D3D">
              <w:rPr>
                <w:rFonts w:ascii="Times New Roman" w:eastAsia="Batang" w:hAnsi="Times New Roman" w:cs="Times New Roman"/>
                <w:sz w:val="20"/>
                <w:szCs w:val="24"/>
                <w:lang w:eastAsia="x-none"/>
              </w:rPr>
              <w:t>Note: the configuration shall support disabling of the TA validation attributes</w:t>
            </w:r>
          </w:p>
          <w:p w14:paraId="72FDD0EA" w14:textId="54012639" w:rsidR="003C69AD" w:rsidRPr="003C69AD" w:rsidRDefault="003C69AD" w:rsidP="003C69AD">
            <w:pPr>
              <w:spacing w:after="0" w:line="240" w:lineRule="auto"/>
              <w:rPr>
                <w:rFonts w:ascii="Times" w:eastAsia="Batang" w:hAnsi="Times" w:cs="Times New Roman"/>
                <w:sz w:val="20"/>
                <w:szCs w:val="24"/>
                <w:lang w:val="en-GB" w:eastAsia="x-none"/>
              </w:rPr>
            </w:pPr>
          </w:p>
          <w:p w14:paraId="0E448B56" w14:textId="77777777" w:rsidR="003C69AD" w:rsidRPr="003C69AD" w:rsidRDefault="003C69AD" w:rsidP="003C69AD">
            <w:pPr>
              <w:spacing w:after="0" w:line="240" w:lineRule="auto"/>
              <w:rPr>
                <w:rFonts w:ascii="Times" w:eastAsia="Malgun Gothic" w:hAnsi="Times" w:cs="Times New Roman"/>
                <w:b/>
                <w:sz w:val="20"/>
                <w:szCs w:val="24"/>
                <w:highlight w:val="green"/>
                <w:lang w:val="en-GB"/>
              </w:rPr>
            </w:pPr>
            <w:r w:rsidRPr="003C69AD">
              <w:rPr>
                <w:rFonts w:ascii="Times" w:eastAsia="Malgun Gothic" w:hAnsi="Times" w:cs="Times New Roman"/>
                <w:b/>
                <w:sz w:val="20"/>
                <w:szCs w:val="24"/>
                <w:highlight w:val="green"/>
                <w:lang w:val="en-GB"/>
              </w:rPr>
              <w:t>Agreement</w:t>
            </w:r>
          </w:p>
          <w:p w14:paraId="76A20C20" w14:textId="77777777" w:rsidR="003C69AD" w:rsidRPr="003C69AD" w:rsidRDefault="003C69AD" w:rsidP="003C69AD">
            <w:pPr>
              <w:spacing w:after="0" w:line="240" w:lineRule="auto"/>
              <w:rPr>
                <w:rFonts w:ascii="Times" w:eastAsia="Batang" w:hAnsi="Times" w:cs="Times New Roman"/>
                <w:sz w:val="20"/>
                <w:szCs w:val="24"/>
                <w:lang w:val="en-GB" w:eastAsia="en-GB"/>
              </w:rPr>
            </w:pPr>
            <w:r w:rsidRPr="003C69AD">
              <w:rPr>
                <w:rFonts w:ascii="Times New Roman" w:eastAsia="Batang" w:hAnsi="Times New Roman" w:cs="Times New Roman"/>
                <w:sz w:val="20"/>
                <w:szCs w:val="24"/>
                <w:lang w:val="en-GB" w:eastAsia="x-none"/>
              </w:rPr>
              <w:t>Include in LS to RAN2, RAN4</w:t>
            </w:r>
            <w:r w:rsidRPr="003C69AD">
              <w:rPr>
                <w:rFonts w:ascii="Times" w:eastAsia="Batang" w:hAnsi="Times" w:cs="Times New Roman"/>
                <w:sz w:val="20"/>
                <w:szCs w:val="24"/>
                <w:lang w:val="en-GB" w:eastAsia="en-GB"/>
              </w:rPr>
              <w:t>:</w:t>
            </w:r>
          </w:p>
          <w:p w14:paraId="41B81612" w14:textId="77777777" w:rsidR="003C69AD" w:rsidRPr="003C69AD" w:rsidRDefault="003C69AD" w:rsidP="003C69AD">
            <w:pPr>
              <w:spacing w:after="0" w:line="240" w:lineRule="auto"/>
              <w:rPr>
                <w:rFonts w:ascii="Times" w:eastAsia="Malgun Gothic" w:hAnsi="Times" w:cs="Times New Roman"/>
                <w:sz w:val="20"/>
                <w:szCs w:val="24"/>
                <w:lang w:val="en-GB"/>
              </w:rPr>
            </w:pPr>
            <w:r w:rsidRPr="003C69AD">
              <w:rPr>
                <w:rFonts w:ascii="Times" w:eastAsia="Malgun Gothic" w:hAnsi="Times" w:cs="Times New Roman"/>
                <w:sz w:val="20"/>
                <w:szCs w:val="24"/>
                <w:lang w:val="en-GB"/>
              </w:rPr>
              <w:t xml:space="preserve">RAN1 assumes that a UE transitioning from EDT/connected to idle mode can use the valid TA that was used while in EDT/connected mode. </w:t>
            </w:r>
          </w:p>
          <w:p w14:paraId="4D9D9181" w14:textId="77777777" w:rsidR="00FC0B06" w:rsidRDefault="00FC0B06" w:rsidP="00AB18DD">
            <w:pPr>
              <w:spacing w:after="0" w:line="240" w:lineRule="auto"/>
              <w:rPr>
                <w:rFonts w:ascii="Times New Roman" w:eastAsia="Batang" w:hAnsi="Times New Roman" w:cs="Times New Roman"/>
                <w:b/>
                <w:sz w:val="20"/>
                <w:szCs w:val="20"/>
                <w:highlight w:val="green"/>
                <w:lang w:val="en-GB" w:eastAsia="x-none"/>
              </w:rPr>
            </w:pPr>
          </w:p>
          <w:p w14:paraId="2CD3C53D" w14:textId="2908B1E6" w:rsidR="00AB18DD" w:rsidRPr="002A5169" w:rsidRDefault="00AB18DD" w:rsidP="00AB18DD">
            <w:pPr>
              <w:spacing w:after="0" w:line="240" w:lineRule="auto"/>
              <w:rPr>
                <w:rFonts w:ascii="Times New Roman" w:eastAsia="Batang" w:hAnsi="Times New Roman" w:cs="Times New Roman"/>
                <w:b/>
                <w:sz w:val="20"/>
                <w:szCs w:val="20"/>
                <w:highlight w:val="green"/>
                <w:lang w:val="en-GB" w:eastAsia="x-none"/>
              </w:rPr>
            </w:pPr>
            <w:r w:rsidRPr="002A5169">
              <w:rPr>
                <w:rFonts w:ascii="Times New Roman" w:eastAsia="Batang" w:hAnsi="Times New Roman" w:cs="Times New Roman"/>
                <w:b/>
                <w:sz w:val="20"/>
                <w:szCs w:val="20"/>
                <w:highlight w:val="green"/>
                <w:lang w:val="en-GB" w:eastAsia="x-none"/>
              </w:rPr>
              <w:t xml:space="preserve">Agreement </w:t>
            </w:r>
          </w:p>
          <w:p w14:paraId="53426E8E" w14:textId="77777777" w:rsidR="00AB18DD" w:rsidRPr="00E34D3D" w:rsidRDefault="00AB18DD" w:rsidP="00AB18DD">
            <w:pPr>
              <w:spacing w:after="0" w:line="240" w:lineRule="auto"/>
              <w:rPr>
                <w:rFonts w:ascii="Times New Roman" w:eastAsia="Batang" w:hAnsi="Times New Roman" w:cs="Times New Roman"/>
                <w:sz w:val="20"/>
                <w:szCs w:val="20"/>
                <w:lang w:eastAsia="x-none"/>
              </w:rPr>
            </w:pPr>
            <w:r w:rsidRPr="00E34D3D">
              <w:rPr>
                <w:rFonts w:ascii="Times New Roman" w:eastAsia="Batang" w:hAnsi="Times New Roman" w:cs="Times New Roman"/>
                <w:sz w:val="20"/>
                <w:szCs w:val="20"/>
                <w:lang w:eastAsia="x-none"/>
              </w:rPr>
              <w:t>In idle mode, the TA validation configuration can include “PUR Time Alignment Timer”</w:t>
            </w:r>
          </w:p>
          <w:p w14:paraId="36981CAC" w14:textId="77777777" w:rsidR="00AB18DD" w:rsidRPr="00E34D3D" w:rsidRDefault="00AB18DD" w:rsidP="004C7CC2">
            <w:pPr>
              <w:numPr>
                <w:ilvl w:val="0"/>
                <w:numId w:val="18"/>
              </w:numPr>
              <w:spacing w:after="0" w:line="240" w:lineRule="auto"/>
              <w:rPr>
                <w:rFonts w:ascii="Times New Roman" w:eastAsia="Batang" w:hAnsi="Times New Roman" w:cs="Times New Roman"/>
                <w:sz w:val="20"/>
                <w:szCs w:val="20"/>
                <w:lang w:eastAsia="x-none"/>
              </w:rPr>
            </w:pPr>
            <w:r w:rsidRPr="00E34D3D">
              <w:rPr>
                <w:rFonts w:ascii="Times New Roman" w:eastAsia="Batang" w:hAnsi="Times New Roman" w:cs="Times New Roman"/>
                <w:sz w:val="20"/>
                <w:szCs w:val="20"/>
                <w:lang w:eastAsia="x-none"/>
              </w:rPr>
              <w:t>Where the UE considers the TA as invalid if the (current time – time at last TA update) &gt; the PUR Time Alignment Timer</w:t>
            </w:r>
          </w:p>
          <w:p w14:paraId="0490B938" w14:textId="77777777" w:rsidR="00AB18DD" w:rsidRPr="00E34D3D" w:rsidRDefault="00AB18DD" w:rsidP="004C7CC2">
            <w:pPr>
              <w:numPr>
                <w:ilvl w:val="0"/>
                <w:numId w:val="18"/>
              </w:numPr>
              <w:spacing w:after="0" w:line="240" w:lineRule="auto"/>
              <w:rPr>
                <w:rFonts w:ascii="Times New Roman" w:eastAsia="Batang" w:hAnsi="Times New Roman" w:cs="Times New Roman"/>
                <w:sz w:val="20"/>
                <w:szCs w:val="20"/>
                <w:lang w:eastAsia="x-none"/>
              </w:rPr>
            </w:pPr>
            <w:r w:rsidRPr="00E34D3D">
              <w:rPr>
                <w:rFonts w:ascii="Times New Roman" w:eastAsia="Batang" w:hAnsi="Times New Roman" w:cs="Times New Roman"/>
                <w:sz w:val="20"/>
                <w:szCs w:val="20"/>
                <w:lang w:eastAsia="x-none"/>
              </w:rPr>
              <w:t xml:space="preserve">Details on how to specify the “PUR Time Alignment Timer” is up to RAN2  </w:t>
            </w:r>
          </w:p>
          <w:p w14:paraId="3F1E5ECD" w14:textId="77777777" w:rsidR="00AB18DD" w:rsidRPr="002A5169" w:rsidRDefault="00AB18DD" w:rsidP="00AB18DD">
            <w:pPr>
              <w:spacing w:after="0" w:line="240" w:lineRule="auto"/>
              <w:rPr>
                <w:rFonts w:ascii="Times New Roman" w:eastAsia="Batang" w:hAnsi="Times New Roman" w:cs="Times New Roman"/>
                <w:b/>
                <w:sz w:val="20"/>
                <w:szCs w:val="20"/>
                <w:highlight w:val="yellow"/>
                <w:lang w:val="en-GB" w:eastAsia="x-none"/>
              </w:rPr>
            </w:pPr>
          </w:p>
          <w:p w14:paraId="0B27C6ED" w14:textId="77777777" w:rsidR="00AB18DD" w:rsidRPr="002A5169" w:rsidRDefault="00AB18DD" w:rsidP="00AB18DD">
            <w:pPr>
              <w:spacing w:after="0" w:line="240" w:lineRule="auto"/>
              <w:rPr>
                <w:rFonts w:ascii="Times New Roman" w:eastAsia="Batang" w:hAnsi="Times New Roman" w:cs="Times New Roman"/>
                <w:b/>
                <w:sz w:val="20"/>
                <w:szCs w:val="20"/>
                <w:highlight w:val="green"/>
                <w:lang w:val="en-GB" w:eastAsia="x-none"/>
              </w:rPr>
            </w:pPr>
            <w:r w:rsidRPr="002A5169">
              <w:rPr>
                <w:rFonts w:ascii="Times New Roman" w:eastAsia="Batang" w:hAnsi="Times New Roman" w:cs="Times New Roman"/>
                <w:b/>
                <w:sz w:val="20"/>
                <w:szCs w:val="20"/>
                <w:highlight w:val="green"/>
                <w:lang w:val="en-GB" w:eastAsia="x-none"/>
              </w:rPr>
              <w:t>Agreement</w:t>
            </w:r>
          </w:p>
          <w:p w14:paraId="10072D85" w14:textId="77777777" w:rsidR="00AB18DD" w:rsidRPr="002A5169" w:rsidRDefault="00AB18DD" w:rsidP="00AB18DD">
            <w:pPr>
              <w:spacing w:after="0" w:line="240" w:lineRule="auto"/>
              <w:rPr>
                <w:rFonts w:ascii="Times New Roman" w:eastAsia="Batang" w:hAnsi="Times New Roman" w:cs="Times New Roman"/>
                <w:sz w:val="20"/>
                <w:szCs w:val="20"/>
                <w:lang w:val="en-GB" w:eastAsia="x-none"/>
              </w:rPr>
            </w:pPr>
            <w:r w:rsidRPr="002A5169">
              <w:rPr>
                <w:rFonts w:ascii="Times New Roman" w:eastAsia="Batang" w:hAnsi="Times New Roman" w:cs="Times New Roman"/>
                <w:sz w:val="20"/>
                <w:szCs w:val="20"/>
                <w:lang w:val="en-GB" w:eastAsia="x-none"/>
              </w:rPr>
              <w:t>In idle mode, when the UE validates TA, the UE considers the TA for the previous serving cell as invalid if the serving cell changes</w:t>
            </w:r>
          </w:p>
          <w:p w14:paraId="7E69FC5D" w14:textId="77777777" w:rsidR="00AB18DD" w:rsidRPr="00143DB2" w:rsidRDefault="00AB18DD" w:rsidP="004C7CC2">
            <w:pPr>
              <w:numPr>
                <w:ilvl w:val="0"/>
                <w:numId w:val="18"/>
              </w:numPr>
              <w:spacing w:after="0" w:line="240" w:lineRule="auto"/>
              <w:rPr>
                <w:rFonts w:ascii="Times New Roman" w:eastAsia="Batang" w:hAnsi="Times New Roman" w:cs="Times New Roman"/>
                <w:sz w:val="20"/>
                <w:szCs w:val="20"/>
                <w:lang w:val="en-GB" w:eastAsia="x-none"/>
              </w:rPr>
            </w:pPr>
            <w:r w:rsidRPr="002A5169">
              <w:rPr>
                <w:rFonts w:ascii="Times New Roman" w:eastAsia="Batang" w:hAnsi="Times New Roman" w:cs="Times New Roman"/>
                <w:sz w:val="20"/>
                <w:szCs w:val="20"/>
                <w:lang w:val="en-GB" w:eastAsia="x-none"/>
              </w:rPr>
              <w:t>Above applies for the case where the UE is configured to use the serving cell change attribute</w:t>
            </w:r>
          </w:p>
          <w:p w14:paraId="43036CB4" w14:textId="77777777" w:rsidR="00AB18DD" w:rsidRPr="002A5169" w:rsidRDefault="00AB18DD" w:rsidP="00AB18DD">
            <w:pPr>
              <w:spacing w:after="0" w:line="240" w:lineRule="auto"/>
              <w:rPr>
                <w:rFonts w:ascii="Times" w:eastAsia="Batang" w:hAnsi="Times" w:cs="Times New Roman"/>
                <w:sz w:val="20"/>
                <w:szCs w:val="24"/>
                <w:lang w:val="en-GB" w:eastAsia="x-none"/>
              </w:rPr>
            </w:pPr>
          </w:p>
          <w:p w14:paraId="756E0509" w14:textId="77777777" w:rsidR="00AB18DD" w:rsidRPr="002A5169" w:rsidRDefault="00AB18DD" w:rsidP="00AB18DD">
            <w:pPr>
              <w:spacing w:after="0" w:line="240" w:lineRule="auto"/>
              <w:rPr>
                <w:rFonts w:ascii="Times" w:eastAsia="Batang" w:hAnsi="Times" w:cs="Times New Roman"/>
                <w:b/>
                <w:sz w:val="20"/>
                <w:szCs w:val="24"/>
                <w:highlight w:val="green"/>
                <w:lang w:val="en-GB" w:eastAsia="x-none"/>
              </w:rPr>
            </w:pPr>
            <w:r w:rsidRPr="002A5169">
              <w:rPr>
                <w:rFonts w:ascii="Times" w:eastAsia="Batang" w:hAnsi="Times" w:cs="Times New Roman"/>
                <w:b/>
                <w:sz w:val="20"/>
                <w:szCs w:val="24"/>
                <w:highlight w:val="green"/>
                <w:lang w:val="en-GB" w:eastAsia="x-none"/>
              </w:rPr>
              <w:t xml:space="preserve">Agreement </w:t>
            </w:r>
          </w:p>
          <w:p w14:paraId="18C42DB2" w14:textId="77777777" w:rsidR="00AB18DD" w:rsidRPr="002A5169" w:rsidRDefault="00AB18DD" w:rsidP="00AB18DD">
            <w:pPr>
              <w:spacing w:after="0" w:line="240" w:lineRule="auto"/>
              <w:rPr>
                <w:rFonts w:ascii="Times New Roman" w:eastAsia="Batang" w:hAnsi="Times New Roman" w:cs="Times New Roman"/>
                <w:sz w:val="20"/>
                <w:szCs w:val="24"/>
                <w:lang w:val="en-GB"/>
              </w:rPr>
            </w:pPr>
            <w:r w:rsidRPr="002A5169">
              <w:rPr>
                <w:rFonts w:ascii="Times New Roman" w:eastAsia="Batang" w:hAnsi="Times New Roman" w:cs="Times New Roman"/>
                <w:sz w:val="20"/>
                <w:szCs w:val="24"/>
                <w:lang w:val="en-GB"/>
              </w:rPr>
              <w:t xml:space="preserve">When the TA is validated and found to be invalid and the UE has data to send, the UE can obtain a valid TA and may send data via legacy RACH or EDT procedures </w:t>
            </w:r>
          </w:p>
          <w:p w14:paraId="3919D038" w14:textId="77777777" w:rsidR="00AB18DD" w:rsidRPr="002A5169" w:rsidRDefault="00AB18DD" w:rsidP="004C7CC2">
            <w:pPr>
              <w:numPr>
                <w:ilvl w:val="0"/>
                <w:numId w:val="19"/>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FFS whether only TA is acquired and then data sent on PUR is supported</w:t>
            </w:r>
          </w:p>
          <w:p w14:paraId="2E55C3EB" w14:textId="77777777" w:rsidR="00AB18DD" w:rsidRPr="00D03A70" w:rsidRDefault="00AB18DD" w:rsidP="004C7CC2">
            <w:pPr>
              <w:numPr>
                <w:ilvl w:val="0"/>
                <w:numId w:val="19"/>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FFS other approaches to obtain a valid TA</w:t>
            </w:r>
          </w:p>
          <w:p w14:paraId="2B49E477" w14:textId="77777777" w:rsidR="00AB18DD" w:rsidRPr="002A5169" w:rsidRDefault="00AB18DD" w:rsidP="00AB18DD">
            <w:pPr>
              <w:spacing w:after="0" w:line="240" w:lineRule="auto"/>
              <w:rPr>
                <w:rFonts w:ascii="Times" w:eastAsia="Batang" w:hAnsi="Times" w:cs="Times New Roman"/>
                <w:sz w:val="20"/>
                <w:szCs w:val="24"/>
                <w:lang w:val="en-GB" w:eastAsia="x-none"/>
              </w:rPr>
            </w:pPr>
          </w:p>
          <w:p w14:paraId="4CCE77C1" w14:textId="77777777" w:rsidR="00AB18DD" w:rsidRPr="002A5169" w:rsidRDefault="00AB18DD" w:rsidP="00AB18DD">
            <w:pPr>
              <w:spacing w:after="0" w:line="240" w:lineRule="auto"/>
              <w:rPr>
                <w:rFonts w:ascii="Times" w:eastAsia="Batang" w:hAnsi="Times" w:cs="Times New Roman"/>
                <w:b/>
                <w:sz w:val="20"/>
                <w:szCs w:val="24"/>
                <w:highlight w:val="green"/>
                <w:lang w:val="en-GB" w:eastAsia="x-none"/>
              </w:rPr>
            </w:pPr>
            <w:r w:rsidRPr="002A5169">
              <w:rPr>
                <w:rFonts w:ascii="Times" w:eastAsia="Batang" w:hAnsi="Times" w:cs="Times New Roman"/>
                <w:b/>
                <w:sz w:val="20"/>
                <w:szCs w:val="24"/>
                <w:highlight w:val="green"/>
                <w:lang w:val="en-GB" w:eastAsia="x-none"/>
              </w:rPr>
              <w:t>Agreement</w:t>
            </w:r>
          </w:p>
          <w:p w14:paraId="27D50EBE" w14:textId="77777777" w:rsidR="00AB18DD" w:rsidRPr="002A5169" w:rsidRDefault="00AB18DD" w:rsidP="00AB18DD">
            <w:pPr>
              <w:spacing w:after="0" w:line="240" w:lineRule="auto"/>
              <w:rPr>
                <w:rFonts w:ascii="Times" w:eastAsia="Batang" w:hAnsi="Times" w:cs="Times New Roman"/>
                <w:sz w:val="20"/>
                <w:szCs w:val="24"/>
                <w:lang w:val="en-GB" w:eastAsia="en-GB"/>
              </w:rPr>
            </w:pPr>
            <w:r w:rsidRPr="002A5169">
              <w:rPr>
                <w:rFonts w:ascii="Times" w:eastAsia="Batang" w:hAnsi="Times" w:cs="Times New Roman"/>
                <w:sz w:val="20"/>
                <w:szCs w:val="24"/>
                <w:lang w:val="en-GB"/>
              </w:rPr>
              <w:t>When the UE is configured to use several TA validation criteria, the TA is valid only when all the configured TA validation criteria are satisfied.</w:t>
            </w:r>
          </w:p>
          <w:p w14:paraId="14B70DCD" w14:textId="77777777" w:rsidR="00AB18DD" w:rsidRPr="002A5169" w:rsidRDefault="00AB18DD" w:rsidP="00AB18DD">
            <w:pPr>
              <w:spacing w:after="0" w:line="240" w:lineRule="auto"/>
              <w:rPr>
                <w:rFonts w:ascii="Times" w:eastAsia="Batang" w:hAnsi="Times" w:cs="Times New Roman"/>
                <w:sz w:val="20"/>
                <w:szCs w:val="24"/>
                <w:lang w:val="en-GB" w:eastAsia="x-none"/>
              </w:rPr>
            </w:pPr>
          </w:p>
          <w:p w14:paraId="4D991DAE" w14:textId="77777777" w:rsidR="00AB18DD" w:rsidRPr="002A5169" w:rsidRDefault="00AB18DD" w:rsidP="00AB18DD">
            <w:pPr>
              <w:spacing w:after="0" w:line="240" w:lineRule="auto"/>
              <w:rPr>
                <w:rFonts w:ascii="Times" w:eastAsia="Batang" w:hAnsi="Times" w:cs="Times New Roman"/>
                <w:b/>
                <w:sz w:val="20"/>
                <w:szCs w:val="24"/>
                <w:highlight w:val="green"/>
                <w:lang w:val="en-GB"/>
              </w:rPr>
            </w:pPr>
            <w:r w:rsidRPr="002A5169">
              <w:rPr>
                <w:rFonts w:ascii="Times" w:eastAsia="Batang" w:hAnsi="Times" w:cs="Times New Roman"/>
                <w:b/>
                <w:sz w:val="20"/>
                <w:szCs w:val="24"/>
                <w:highlight w:val="green"/>
                <w:lang w:val="en-GB"/>
              </w:rPr>
              <w:t>Agreement</w:t>
            </w:r>
          </w:p>
          <w:p w14:paraId="06147C7F" w14:textId="77777777" w:rsidR="00AB18DD" w:rsidRPr="002A5169" w:rsidRDefault="00AB18DD" w:rsidP="00AB18DD">
            <w:pPr>
              <w:spacing w:after="0" w:line="240" w:lineRule="auto"/>
              <w:rPr>
                <w:rFonts w:ascii="Times" w:eastAsia="Batang" w:hAnsi="Times" w:cs="Times New Roman"/>
                <w:sz w:val="20"/>
                <w:szCs w:val="24"/>
                <w:lang w:val="en-GB"/>
              </w:rPr>
            </w:pPr>
            <w:r w:rsidRPr="002A5169">
              <w:rPr>
                <w:rFonts w:ascii="Times" w:eastAsia="Batang" w:hAnsi="Times" w:cs="Times New Roman"/>
                <w:sz w:val="20"/>
                <w:szCs w:val="24"/>
                <w:lang w:val="en-GB"/>
              </w:rPr>
              <w:t>In idle mode, a UE can be configured such that TA is always valid within a given cell.</w:t>
            </w:r>
          </w:p>
          <w:p w14:paraId="5AF8D745" w14:textId="77777777" w:rsidR="00AB18DD" w:rsidRPr="002A5169" w:rsidRDefault="00AB18DD" w:rsidP="004C7CC2">
            <w:pPr>
              <w:numPr>
                <w:ilvl w:val="0"/>
                <w:numId w:val="19"/>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FFS: up to RAN2 how to implement e.g. PUR Time Alignment Timer = infinity</w:t>
            </w:r>
          </w:p>
          <w:p w14:paraId="7662418E" w14:textId="77777777" w:rsidR="00AB18DD" w:rsidRDefault="00AB18DD" w:rsidP="00F91A22">
            <w:pPr>
              <w:pStyle w:val="BodyText"/>
              <w:spacing w:after="0"/>
              <w:rPr>
                <w:lang w:val="en-GB"/>
              </w:rPr>
            </w:pPr>
          </w:p>
          <w:p w14:paraId="3279DFB2" w14:textId="77777777" w:rsidR="000462DC" w:rsidRPr="009E12A6" w:rsidRDefault="000462DC" w:rsidP="00F91A22">
            <w:pPr>
              <w:spacing w:after="0" w:line="240" w:lineRule="auto"/>
              <w:rPr>
                <w:rFonts w:ascii="Times" w:eastAsia="Batang" w:hAnsi="Times" w:cs="Times New Roman"/>
                <w:b/>
                <w:sz w:val="20"/>
                <w:szCs w:val="24"/>
                <w:highlight w:val="green"/>
                <w:lang w:val="en-GB" w:eastAsia="x-none"/>
              </w:rPr>
            </w:pPr>
            <w:r w:rsidRPr="009E12A6">
              <w:rPr>
                <w:rFonts w:ascii="Times" w:eastAsia="Batang" w:hAnsi="Times" w:cs="Times New Roman"/>
                <w:b/>
                <w:sz w:val="20"/>
                <w:szCs w:val="24"/>
                <w:highlight w:val="green"/>
                <w:lang w:val="en-GB" w:eastAsia="x-none"/>
              </w:rPr>
              <w:t xml:space="preserve">Agreement </w:t>
            </w:r>
          </w:p>
          <w:p w14:paraId="088773ED" w14:textId="77777777" w:rsidR="000462DC" w:rsidRPr="009E12A6" w:rsidRDefault="000462DC" w:rsidP="000462DC">
            <w:pPr>
              <w:spacing w:after="0" w:line="240" w:lineRule="auto"/>
              <w:rPr>
                <w:rFonts w:ascii="Times" w:eastAsia="Batang" w:hAnsi="Times" w:cs="Times New Roman"/>
                <w:sz w:val="20"/>
                <w:szCs w:val="24"/>
                <w:lang w:val="en-GB" w:eastAsia="x-none"/>
              </w:rPr>
            </w:pPr>
            <w:r w:rsidRPr="009E12A6">
              <w:rPr>
                <w:rFonts w:ascii="Times" w:eastAsia="Batang" w:hAnsi="Times" w:cs="Times New Roman"/>
                <w:sz w:val="20"/>
                <w:szCs w:val="20"/>
                <w:lang w:val="en-GB" w:eastAsia="zh-CN"/>
              </w:rPr>
              <w:t xml:space="preserve">The value(s) of </w:t>
            </w:r>
            <w:r>
              <w:rPr>
                <w:rFonts w:ascii="Times" w:eastAsia="Batang" w:hAnsi="Times" w:cs="Times New Roman"/>
                <w:sz w:val="20"/>
                <w:szCs w:val="20"/>
                <w:lang w:val="en-GB" w:eastAsia="zh-CN"/>
              </w:rPr>
              <w:t>(</w:t>
            </w:r>
            <w:r w:rsidRPr="009E12A6">
              <w:rPr>
                <w:rFonts w:ascii="Times" w:eastAsia="Batang" w:hAnsi="Times" w:cs="Times New Roman"/>
                <w:bCs/>
                <w:sz w:val="20"/>
                <w:szCs w:val="20"/>
                <w:lang w:val="en-GB" w:eastAsia="zh-CN"/>
              </w:rPr>
              <w:t>N</w:t>
            </w:r>
            <w:r>
              <w:rPr>
                <w:rFonts w:ascii="Times" w:eastAsia="Batang" w:hAnsi="Times" w:cs="Times New Roman"/>
                <w:bCs/>
                <w:sz w:val="20"/>
                <w:szCs w:val="20"/>
                <w:lang w:val="en-GB" w:eastAsia="zh-CN"/>
              </w:rPr>
              <w:t>)</w:t>
            </w:r>
            <w:r w:rsidRPr="009E12A6">
              <w:rPr>
                <w:rFonts w:ascii="Times" w:eastAsia="Batang" w:hAnsi="Times" w:cs="Times New Roman"/>
                <w:bCs/>
                <w:sz w:val="20"/>
                <w:szCs w:val="20"/>
                <w:lang w:val="en-GB" w:eastAsia="zh-CN"/>
              </w:rPr>
              <w:t>RSRP</w:t>
            </w:r>
            <w:r w:rsidRPr="009E12A6">
              <w:rPr>
                <w:rFonts w:ascii="Times" w:eastAsia="Batang" w:hAnsi="Times" w:cs="Times New Roman"/>
                <w:sz w:val="20"/>
                <w:szCs w:val="20"/>
                <w:lang w:val="en-GB" w:eastAsia="zh-CN"/>
              </w:rPr>
              <w:t xml:space="preserve"> threshold(s) is UE specific</w:t>
            </w:r>
          </w:p>
          <w:p w14:paraId="23A3BBF2" w14:textId="77777777" w:rsidR="000462DC" w:rsidRDefault="000462DC" w:rsidP="00E739EA">
            <w:pPr>
              <w:pStyle w:val="BodyText"/>
              <w:rPr>
                <w:lang w:val="en-GB"/>
              </w:rPr>
            </w:pPr>
          </w:p>
          <w:p w14:paraId="5B6DF2D4" w14:textId="77777777" w:rsidR="004C7CC2" w:rsidRPr="009E12A6" w:rsidRDefault="004C7CC2" w:rsidP="004C7CC2">
            <w:pPr>
              <w:spacing w:after="0" w:line="240" w:lineRule="auto"/>
              <w:jc w:val="both"/>
              <w:rPr>
                <w:rFonts w:ascii="Times New Roman" w:eastAsia="MS Mincho" w:hAnsi="Times New Roman" w:cs="Times New Roman"/>
                <w:b/>
                <w:sz w:val="20"/>
                <w:szCs w:val="20"/>
                <w:highlight w:val="darkYellow"/>
                <w:lang w:val="en-GB" w:eastAsia="sv-SE"/>
              </w:rPr>
            </w:pPr>
            <w:r w:rsidRPr="009E12A6">
              <w:rPr>
                <w:rFonts w:ascii="Times New Roman" w:eastAsia="MS Mincho" w:hAnsi="Times New Roman" w:cs="Times New Roman"/>
                <w:b/>
                <w:sz w:val="20"/>
                <w:szCs w:val="20"/>
                <w:highlight w:val="darkYellow"/>
                <w:lang w:val="en-GB" w:eastAsia="en-GB"/>
              </w:rPr>
              <w:t>Working Assumption#1</w:t>
            </w:r>
          </w:p>
          <w:p w14:paraId="24098689" w14:textId="77777777" w:rsidR="004C7CC2" w:rsidRPr="009E12A6" w:rsidRDefault="004C7CC2" w:rsidP="004C7CC2">
            <w:pPr>
              <w:spacing w:after="0" w:line="240" w:lineRule="auto"/>
              <w:jc w:val="both"/>
              <w:rPr>
                <w:rFonts w:ascii="Times New Roman" w:eastAsia="MS Mincho" w:hAnsi="Times New Roman" w:cs="Times New Roman"/>
                <w:sz w:val="20"/>
                <w:szCs w:val="20"/>
                <w:lang w:val="en-GB" w:eastAsia="en-GB"/>
              </w:rPr>
            </w:pPr>
            <w:r w:rsidRPr="009E12A6">
              <w:rPr>
                <w:rFonts w:ascii="Times New Roman" w:eastAsia="MS Mincho" w:hAnsi="Times New Roman" w:cs="Times New Roman"/>
                <w:sz w:val="20"/>
                <w:szCs w:val="20"/>
                <w:lang w:val="en-GB" w:eastAsia="en-GB"/>
              </w:rPr>
              <w:t>In idle mode, updating PUR configurations and/or PUR parameters via L1 signalling after a PUR transmission is supported</w:t>
            </w:r>
          </w:p>
          <w:p w14:paraId="1C7AEF3E" w14:textId="77777777" w:rsidR="004C7CC2" w:rsidRPr="00E34D3D" w:rsidRDefault="004C7CC2" w:rsidP="004C7CC2">
            <w:pPr>
              <w:numPr>
                <w:ilvl w:val="0"/>
                <w:numId w:val="20"/>
              </w:numPr>
              <w:spacing w:after="0" w:line="240" w:lineRule="auto"/>
              <w:rPr>
                <w:rFonts w:ascii="Times" w:eastAsia="Batang" w:hAnsi="Times" w:cs="Times New Roman"/>
                <w:bCs/>
                <w:sz w:val="20"/>
                <w:szCs w:val="24"/>
              </w:rPr>
            </w:pPr>
            <w:r w:rsidRPr="00E34D3D">
              <w:rPr>
                <w:rFonts w:ascii="Times" w:eastAsia="Batang" w:hAnsi="Times" w:cs="Times New Roman"/>
                <w:bCs/>
                <w:sz w:val="20"/>
                <w:szCs w:val="24"/>
              </w:rPr>
              <w:t>FFS: Which PUR configurations and PUR parameters will be signaled via L1</w:t>
            </w:r>
          </w:p>
          <w:p w14:paraId="3338DD37" w14:textId="77777777" w:rsidR="004C7CC2" w:rsidRPr="00E34D3D" w:rsidRDefault="004C7CC2" w:rsidP="004C7CC2">
            <w:pPr>
              <w:numPr>
                <w:ilvl w:val="0"/>
                <w:numId w:val="20"/>
              </w:numPr>
              <w:spacing w:after="0" w:line="240" w:lineRule="auto"/>
              <w:rPr>
                <w:rFonts w:ascii="Times" w:eastAsia="Batang" w:hAnsi="Times" w:cs="Times New Roman"/>
                <w:bCs/>
                <w:sz w:val="20"/>
                <w:szCs w:val="24"/>
              </w:rPr>
            </w:pPr>
            <w:r w:rsidRPr="00E34D3D">
              <w:rPr>
                <w:rFonts w:ascii="Times" w:eastAsia="Batang" w:hAnsi="Times" w:cs="Times New Roman"/>
                <w:bCs/>
                <w:sz w:val="20"/>
                <w:szCs w:val="24"/>
              </w:rPr>
              <w:t>FFS: Definition of PUR configurations and PUR parameters</w:t>
            </w:r>
          </w:p>
          <w:p w14:paraId="278B4998" w14:textId="77777777" w:rsidR="004C7CC2" w:rsidRPr="00E34D3D" w:rsidRDefault="004C7CC2" w:rsidP="004C7CC2">
            <w:pPr>
              <w:tabs>
                <w:tab w:val="left" w:pos="1304"/>
              </w:tabs>
              <w:spacing w:after="0" w:line="240" w:lineRule="auto"/>
              <w:rPr>
                <w:rFonts w:ascii="Times New Roman" w:eastAsia="Batang" w:hAnsi="Times New Roman" w:cs="Times New Roman"/>
                <w:kern w:val="2"/>
                <w:sz w:val="20"/>
                <w:szCs w:val="20"/>
                <w:lang w:eastAsia="ja-JP"/>
              </w:rPr>
            </w:pPr>
            <w:r w:rsidRPr="00E34D3D">
              <w:rPr>
                <w:rFonts w:ascii="Times New Roman" w:eastAsia="Batang" w:hAnsi="Times New Roman" w:cs="Times New Roman"/>
                <w:kern w:val="2"/>
                <w:sz w:val="20"/>
                <w:szCs w:val="20"/>
                <w:lang w:eastAsia="ja-JP"/>
              </w:rPr>
              <w:t>The working assumption will be automatically confirmed if for some cases L2/L3 signaling is not needed. If RAN2 decides that L2/L3 signaling is needed for all cases, the working assumption will be reverted.</w:t>
            </w:r>
          </w:p>
          <w:p w14:paraId="2E919A71" w14:textId="667EA599" w:rsidR="004C7CC2" w:rsidRPr="00E34D3D" w:rsidRDefault="004C7CC2" w:rsidP="00E739EA">
            <w:pPr>
              <w:pStyle w:val="BodyText"/>
            </w:pPr>
          </w:p>
        </w:tc>
      </w:tr>
    </w:tbl>
    <w:p w14:paraId="0BB91F01" w14:textId="5AAB1867" w:rsidR="00060EA0" w:rsidRPr="00E34D3D" w:rsidRDefault="00060EA0" w:rsidP="00E739EA">
      <w:pPr>
        <w:pStyle w:val="BodyText"/>
      </w:pPr>
    </w:p>
    <w:p w14:paraId="14ECDCDA" w14:textId="342682E6" w:rsidR="00705E62" w:rsidRPr="00E34D3D" w:rsidRDefault="00705E62" w:rsidP="00705E62">
      <w:pPr>
        <w:pStyle w:val="BodyText"/>
        <w:rPr>
          <w:rFonts w:eastAsiaTheme="minorEastAsia"/>
        </w:rPr>
      </w:pPr>
      <w:r w:rsidRPr="00E34D3D">
        <w:t>In RAN2</w:t>
      </w:r>
      <w:r w:rsidR="00342561" w:rsidRPr="00E34D3D">
        <w:t xml:space="preserve"> </w:t>
      </w:r>
      <w:r w:rsidRPr="00E34D3D">
        <w:t xml:space="preserve">the following agreements </w:t>
      </w:r>
      <w:r w:rsidR="00F56989" w:rsidRPr="00E34D3D">
        <w:t xml:space="preserve">have been </w:t>
      </w:r>
      <w:r w:rsidRPr="00E34D3D">
        <w:t>reached</w:t>
      </w:r>
      <w:r w:rsidR="00F56989" w:rsidRPr="00E34D3D">
        <w:t xml:space="preserve"> which are relevant for TA validation</w:t>
      </w:r>
      <w:r w:rsidRPr="00E34D3D">
        <w:t>:</w:t>
      </w:r>
    </w:p>
    <w:tbl>
      <w:tblPr>
        <w:tblStyle w:val="TableGrid"/>
        <w:tblW w:w="0" w:type="auto"/>
        <w:tblLook w:val="04A0" w:firstRow="1" w:lastRow="0" w:firstColumn="1" w:lastColumn="0" w:noHBand="0" w:noVBand="1"/>
      </w:tblPr>
      <w:tblGrid>
        <w:gridCol w:w="9629"/>
      </w:tblGrid>
      <w:tr w:rsidR="00705E62" w:rsidRPr="009B6CF0" w14:paraId="3FD0B6AF" w14:textId="77777777" w:rsidTr="00A75F1D">
        <w:tc>
          <w:tcPr>
            <w:tcW w:w="10116" w:type="dxa"/>
          </w:tcPr>
          <w:p w14:paraId="239C0FC9" w14:textId="77777777" w:rsidR="008B0399" w:rsidRPr="00E34D3D" w:rsidRDefault="008B0399" w:rsidP="008B0399">
            <w:pPr>
              <w:pStyle w:val="Agreement"/>
              <w:rPr>
                <w:sz w:val="18"/>
              </w:rPr>
            </w:pPr>
            <w:r w:rsidRPr="00E34D3D">
              <w:rPr>
                <w:sz w:val="18"/>
              </w:rPr>
              <w:t>Transmission in dedicated preconfigured uplink resources in IDLE mode is supported for UEs with a valid timing advance.</w:t>
            </w:r>
          </w:p>
          <w:p w14:paraId="35164905" w14:textId="77777777" w:rsidR="008B0399" w:rsidRPr="00E34D3D" w:rsidRDefault="008B0399" w:rsidP="008B0399">
            <w:pPr>
              <w:pStyle w:val="Agreement"/>
              <w:rPr>
                <w:sz w:val="18"/>
              </w:rPr>
            </w:pPr>
            <w:r w:rsidRPr="00E34D3D">
              <w:rPr>
                <w:sz w:val="18"/>
              </w:rPr>
              <w:lastRenderedPageBreak/>
              <w:t>Initially we will focus on dedicated preconfigured uplink resources in idle mode</w:t>
            </w:r>
          </w:p>
          <w:p w14:paraId="1C97889D" w14:textId="116CC560" w:rsidR="008B0399" w:rsidRPr="00E34D3D" w:rsidRDefault="008B0399" w:rsidP="004C7CC2">
            <w:pPr>
              <w:pStyle w:val="Agreement"/>
              <w:numPr>
                <w:ilvl w:val="2"/>
                <w:numId w:val="14"/>
              </w:numPr>
              <w:rPr>
                <w:sz w:val="18"/>
              </w:rPr>
            </w:pPr>
            <w:r w:rsidRPr="00E34D3D">
              <w:rPr>
                <w:sz w:val="18"/>
              </w:rPr>
              <w:t>Shared resources can also be discussed</w:t>
            </w:r>
          </w:p>
          <w:p w14:paraId="2702D56C" w14:textId="4266D6CF" w:rsidR="00355F57" w:rsidRDefault="00355F57" w:rsidP="00355F57">
            <w:pPr>
              <w:pStyle w:val="Agreement"/>
              <w:rPr>
                <w:sz w:val="18"/>
                <w:lang w:val="en-GB"/>
              </w:rPr>
            </w:pPr>
            <w:r w:rsidRPr="00355F57">
              <w:rPr>
                <w:sz w:val="18"/>
                <w:lang w:val="en-GB"/>
              </w:rPr>
              <w:t>Release of the dedicated preconfigured resources are supported, details for NW triggered and UE triggered are FFS.</w:t>
            </w:r>
          </w:p>
          <w:p w14:paraId="354A6083" w14:textId="77777777" w:rsidR="00940C46" w:rsidRPr="00E34D3D" w:rsidRDefault="00940C46" w:rsidP="00940C46">
            <w:pPr>
              <w:pStyle w:val="Agreement"/>
              <w:spacing w:before="0" w:after="60"/>
              <w:ind w:hanging="357"/>
              <w:rPr>
                <w:rFonts w:cs="Arial"/>
                <w:sz w:val="18"/>
                <w:szCs w:val="18"/>
              </w:rPr>
            </w:pPr>
            <w:r w:rsidRPr="00E34D3D">
              <w:rPr>
                <w:rFonts w:cs="Arial"/>
                <w:sz w:val="18"/>
                <w:szCs w:val="18"/>
              </w:rPr>
              <w:t xml:space="preserve">Multi-shot D-PUR is supported with the possibility to configure as a single shot. </w:t>
            </w:r>
          </w:p>
          <w:p w14:paraId="051AE39B" w14:textId="35E15C0C" w:rsidR="00A36DF4" w:rsidRPr="00E34D3D" w:rsidRDefault="00940C46" w:rsidP="00A36DF4">
            <w:pPr>
              <w:pStyle w:val="Agreement"/>
              <w:spacing w:before="0" w:after="60"/>
              <w:ind w:hanging="357"/>
              <w:rPr>
                <w:rFonts w:cs="Arial"/>
                <w:sz w:val="18"/>
                <w:szCs w:val="18"/>
              </w:rPr>
            </w:pPr>
            <w:bookmarkStart w:id="4" w:name="_Hlk4401350"/>
            <w:r w:rsidRPr="00E34D3D">
              <w:rPr>
                <w:rFonts w:cs="Arial"/>
                <w:sz w:val="18"/>
                <w:szCs w:val="18"/>
              </w:rPr>
              <w:t xml:space="preserve">The UE must release the D-PUR when it does a RA procedure on a new cell. </w:t>
            </w:r>
            <w:bookmarkEnd w:id="4"/>
          </w:p>
          <w:p w14:paraId="739A6455" w14:textId="77777777" w:rsidR="00A36DF4" w:rsidRPr="00523CC6" w:rsidRDefault="00A36DF4" w:rsidP="00A36DF4">
            <w:pPr>
              <w:pStyle w:val="Agreement"/>
              <w:spacing w:line="240" w:lineRule="auto"/>
              <w:rPr>
                <w:rFonts w:cs="Arial"/>
                <w:sz w:val="18"/>
                <w:szCs w:val="18"/>
              </w:rPr>
            </w:pPr>
            <w:r w:rsidRPr="00E34D3D">
              <w:rPr>
                <w:rFonts w:cs="Arial"/>
                <w:bCs/>
                <w:sz w:val="18"/>
                <w:szCs w:val="18"/>
              </w:rPr>
              <w:t xml:space="preserve">For UP the </w:t>
            </w:r>
            <w:r w:rsidRPr="00E34D3D">
              <w:rPr>
                <w:rFonts w:cs="Arial"/>
                <w:sz w:val="18"/>
                <w:szCs w:val="18"/>
              </w:rPr>
              <w:t xml:space="preserve">UE may transmit D-PUR release request/(re)configuration request when transmitting using D-PUR. </w:t>
            </w:r>
            <w:r w:rsidRPr="00802E28">
              <w:rPr>
                <w:rFonts w:cs="Arial"/>
                <w:sz w:val="18"/>
                <w:szCs w:val="18"/>
              </w:rPr>
              <w:t>FFS For CP</w:t>
            </w:r>
          </w:p>
          <w:p w14:paraId="4C2EF097" w14:textId="16BB68C1" w:rsidR="008C1C0A" w:rsidRPr="008C1C0A" w:rsidRDefault="008C1C0A" w:rsidP="008C1C0A">
            <w:pPr>
              <w:pStyle w:val="Doc-text2"/>
              <w:rPr>
                <w:lang w:val="en-US" w:eastAsia="en-GB"/>
              </w:rPr>
            </w:pPr>
          </w:p>
        </w:tc>
      </w:tr>
    </w:tbl>
    <w:p w14:paraId="714B6E50" w14:textId="77777777" w:rsidR="00AB57BE" w:rsidRPr="00AB57BE" w:rsidRDefault="00AB57BE" w:rsidP="00E739EA">
      <w:pPr>
        <w:pStyle w:val="BodyText"/>
        <w:rPr>
          <w:lang w:val="en-CA"/>
        </w:rPr>
      </w:pPr>
    </w:p>
    <w:p w14:paraId="2A721032" w14:textId="1C5D8D62" w:rsidR="00477768" w:rsidRPr="00E34D3D" w:rsidRDefault="00E739EA" w:rsidP="00E739EA">
      <w:pPr>
        <w:pStyle w:val="BodyText"/>
      </w:pPr>
      <w:r w:rsidRPr="00E34D3D">
        <w:t xml:space="preserve">In this contribution we </w:t>
      </w:r>
      <w:r w:rsidR="00754E7F" w:rsidRPr="00E34D3D">
        <w:t xml:space="preserve">continue to </w:t>
      </w:r>
      <w:r w:rsidRPr="00E34D3D">
        <w:t xml:space="preserve">discuss </w:t>
      </w:r>
      <w:r w:rsidR="00C141D2" w:rsidRPr="00E34D3D">
        <w:t xml:space="preserve">some </w:t>
      </w:r>
      <w:r w:rsidR="004A78D1" w:rsidRPr="00E34D3D">
        <w:t xml:space="preserve">issues </w:t>
      </w:r>
      <w:r w:rsidR="006C63A4" w:rsidRPr="00E34D3D">
        <w:t xml:space="preserve">on PUR release and failed TA validation which are not covered in </w:t>
      </w:r>
      <w:r w:rsidR="004A78D1" w:rsidRPr="00E34D3D">
        <w:t>the PUR email discussion 104#43</w:t>
      </w:r>
      <w:r w:rsidR="005542A8" w:rsidRPr="00E34D3D">
        <w:t>.</w:t>
      </w:r>
    </w:p>
    <w:p w14:paraId="74E42707" w14:textId="7C03DD41" w:rsidR="004000E8" w:rsidRDefault="00230D18" w:rsidP="00CE0424">
      <w:pPr>
        <w:pStyle w:val="Heading1"/>
      </w:pPr>
      <w:bookmarkStart w:id="5" w:name="_Ref178064866"/>
      <w:r>
        <w:t>2</w:t>
      </w:r>
      <w:r>
        <w:tab/>
      </w:r>
      <w:r w:rsidR="004000E8" w:rsidRPr="00CE0424">
        <w:t>Discussion</w:t>
      </w:r>
      <w:bookmarkEnd w:id="5"/>
    </w:p>
    <w:p w14:paraId="00F84E4E" w14:textId="7C3BB616" w:rsidR="00BD0B99" w:rsidRPr="00E34D3D" w:rsidRDefault="00BD0B99" w:rsidP="00BD0B99">
      <w:pPr>
        <w:rPr>
          <w:rFonts w:ascii="Arial" w:hAnsi="Arial" w:cs="Arial"/>
        </w:rPr>
      </w:pPr>
      <w:r w:rsidRPr="00E34D3D">
        <w:rPr>
          <w:rFonts w:ascii="Arial" w:hAnsi="Arial" w:cs="Arial"/>
        </w:rPr>
        <w:t xml:space="preserve">In </w:t>
      </w:r>
      <w:r w:rsidR="00C32572" w:rsidRPr="00E34D3D">
        <w:rPr>
          <w:rFonts w:ascii="Arial" w:hAnsi="Arial" w:cs="Arial"/>
        </w:rPr>
        <w:t xml:space="preserve">the </w:t>
      </w:r>
      <w:r w:rsidR="00E20790" w:rsidRPr="00E34D3D">
        <w:rPr>
          <w:rFonts w:ascii="Arial" w:hAnsi="Arial" w:cs="Arial"/>
        </w:rPr>
        <w:t>following,</w:t>
      </w:r>
      <w:r w:rsidRPr="00E34D3D">
        <w:rPr>
          <w:rFonts w:ascii="Arial" w:hAnsi="Arial" w:cs="Arial"/>
        </w:rPr>
        <w:t xml:space="preserve"> dedicated PUR in Idle mode is discussed unless mentioned otherwise.</w:t>
      </w:r>
    </w:p>
    <w:p w14:paraId="2B18B7D2" w14:textId="61103A93" w:rsidR="005A18BB" w:rsidRPr="00751CE2" w:rsidRDefault="00D27BC5" w:rsidP="005A18BB">
      <w:pPr>
        <w:pStyle w:val="Heading1"/>
      </w:pPr>
      <w:r>
        <w:rPr>
          <w:rStyle w:val="Heading1Char"/>
        </w:rPr>
        <w:t>2.1</w:t>
      </w:r>
      <w:r>
        <w:rPr>
          <w:rStyle w:val="Heading1Char"/>
        </w:rPr>
        <w:tab/>
      </w:r>
      <w:r w:rsidR="00B23385">
        <w:rPr>
          <w:rStyle w:val="Heading1Char"/>
        </w:rPr>
        <w:t xml:space="preserve">Configuration of </w:t>
      </w:r>
      <w:r w:rsidR="005A18BB" w:rsidRPr="00751CE2">
        <w:rPr>
          <w:rStyle w:val="Heading1Char"/>
        </w:rPr>
        <w:t xml:space="preserve">Timing Advance </w:t>
      </w:r>
      <w:r w:rsidR="006B4B76">
        <w:rPr>
          <w:rStyle w:val="Heading1Char"/>
        </w:rPr>
        <w:t>validation</w:t>
      </w:r>
      <w:r w:rsidR="00B23385">
        <w:rPr>
          <w:rStyle w:val="Heading1Char"/>
        </w:rPr>
        <w:t xml:space="preserve"> </w:t>
      </w:r>
      <w:r w:rsidR="0034430D">
        <w:rPr>
          <w:rStyle w:val="Heading1Char"/>
        </w:rPr>
        <w:t>criteria</w:t>
      </w:r>
    </w:p>
    <w:p w14:paraId="6E50B1C7" w14:textId="457595F2" w:rsidR="005A18BB" w:rsidRPr="00E34D3D" w:rsidRDefault="005A18BB" w:rsidP="005A18BB">
      <w:pPr>
        <w:rPr>
          <w:rFonts w:ascii="Arial" w:hAnsi="Arial" w:cs="Arial"/>
        </w:rPr>
      </w:pPr>
      <w:r w:rsidRPr="00E34D3D">
        <w:rPr>
          <w:rFonts w:ascii="Arial" w:hAnsi="Arial" w:cs="Arial"/>
        </w:rPr>
        <w:t xml:space="preserve">RAN1 </w:t>
      </w:r>
      <w:r w:rsidR="007048CD" w:rsidRPr="00E34D3D">
        <w:rPr>
          <w:rFonts w:ascii="Arial" w:hAnsi="Arial" w:cs="Arial"/>
        </w:rPr>
        <w:t>has</w:t>
      </w:r>
      <w:r w:rsidRPr="00E34D3D">
        <w:rPr>
          <w:rFonts w:ascii="Arial" w:hAnsi="Arial" w:cs="Arial"/>
        </w:rPr>
        <w:t xml:space="preserve"> agreed that a PUR UE “may use the latest TA that passed the validation criteria”, where the validation criteria are 1) Serving cell changes</w:t>
      </w:r>
      <w:r w:rsidR="0047005C" w:rsidRPr="00E34D3D">
        <w:rPr>
          <w:rFonts w:ascii="Arial" w:hAnsi="Arial" w:cs="Arial"/>
        </w:rPr>
        <w:t xml:space="preserve"> (i.e. cell re-selection)</w:t>
      </w:r>
      <w:r w:rsidRPr="00E34D3D">
        <w:rPr>
          <w:rFonts w:ascii="Arial" w:hAnsi="Arial" w:cs="Arial"/>
        </w:rPr>
        <w:t xml:space="preserve">, 2) Idle Time Alignment Timer, and 3) Serving cell RSRP changes. Since according to the WI-objective “UEs with a valid timing advance” can use PUR, a UE </w:t>
      </w:r>
      <w:proofErr w:type="gramStart"/>
      <w:r w:rsidRPr="00E34D3D">
        <w:rPr>
          <w:rFonts w:ascii="Arial" w:hAnsi="Arial" w:cs="Arial"/>
        </w:rPr>
        <w:t>is allowed to</w:t>
      </w:r>
      <w:proofErr w:type="gramEnd"/>
      <w:r w:rsidRPr="00E34D3D">
        <w:rPr>
          <w:rFonts w:ascii="Arial" w:hAnsi="Arial" w:cs="Arial"/>
        </w:rPr>
        <w:t xml:space="preserve"> use PUR for transmission if it can fulfill the above criteria. More specifically, the RAN1 agreement states that “one or more of the following attributes” and we propose to make this configurable by the network.</w:t>
      </w:r>
      <w:r w:rsidR="00003022" w:rsidRPr="00E34D3D">
        <w:rPr>
          <w:rFonts w:ascii="Arial" w:hAnsi="Arial" w:cs="Arial"/>
        </w:rPr>
        <w:t xml:space="preserve"> </w:t>
      </w:r>
      <w:r w:rsidR="0009396C" w:rsidRPr="00E34D3D">
        <w:rPr>
          <w:rFonts w:ascii="Arial" w:hAnsi="Arial" w:cs="Arial"/>
        </w:rPr>
        <w:t>Since the PUR configuration is only valid in a certain cell (</w:t>
      </w:r>
      <w:r w:rsidR="00254DA1" w:rsidRPr="00E34D3D">
        <w:rPr>
          <w:rFonts w:ascii="Arial" w:hAnsi="Arial" w:cs="Arial"/>
        </w:rPr>
        <w:t>see agreement above on releasing D-PUR when RA is done in new cell</w:t>
      </w:r>
      <w:r w:rsidR="0009396C" w:rsidRPr="00E34D3D">
        <w:rPr>
          <w:rFonts w:ascii="Arial" w:hAnsi="Arial" w:cs="Arial"/>
        </w:rPr>
        <w:t xml:space="preserve">), </w:t>
      </w:r>
      <w:r w:rsidR="00B90DF7" w:rsidRPr="00E34D3D">
        <w:rPr>
          <w:rFonts w:ascii="Arial" w:hAnsi="Arial" w:cs="Arial"/>
        </w:rPr>
        <w:t xml:space="preserve">this could be configured as part of the PUR configuration </w:t>
      </w:r>
      <w:r w:rsidR="005939BB" w:rsidRPr="00E34D3D">
        <w:rPr>
          <w:rFonts w:ascii="Arial" w:hAnsi="Arial" w:cs="Arial"/>
        </w:rPr>
        <w:t>not to increase the SI overhead.</w:t>
      </w:r>
      <w:r w:rsidR="008A564A" w:rsidRPr="00E34D3D">
        <w:rPr>
          <w:rFonts w:ascii="Arial" w:hAnsi="Arial" w:cs="Arial"/>
        </w:rPr>
        <w:t xml:space="preserve"> </w:t>
      </w:r>
      <w:r w:rsidR="0098090B" w:rsidRPr="00E34D3D">
        <w:rPr>
          <w:rFonts w:ascii="Arial" w:hAnsi="Arial" w:cs="Arial"/>
        </w:rPr>
        <w:t xml:space="preserve">That is, the PUR configuration is anyway provided to the UE via dedicated signaling and it straight forward to add TA parameters </w:t>
      </w:r>
      <w:r w:rsidR="0068108C" w:rsidRPr="00E34D3D">
        <w:rPr>
          <w:rFonts w:ascii="Arial" w:hAnsi="Arial" w:cs="Arial"/>
        </w:rPr>
        <w:t xml:space="preserve">without </w:t>
      </w:r>
      <w:r w:rsidR="0003200E" w:rsidRPr="00E34D3D">
        <w:rPr>
          <w:rFonts w:ascii="Arial" w:hAnsi="Arial" w:cs="Arial"/>
        </w:rPr>
        <w:t xml:space="preserve">unnecessarily </w:t>
      </w:r>
      <w:r w:rsidR="0068108C" w:rsidRPr="00E34D3D">
        <w:rPr>
          <w:rFonts w:ascii="Arial" w:hAnsi="Arial" w:cs="Arial"/>
        </w:rPr>
        <w:t>increasing the SI-overhead for UEs not using PUR. Furthermore, this would in principle allow for</w:t>
      </w:r>
      <w:r w:rsidR="00604AA4" w:rsidRPr="00E34D3D">
        <w:rPr>
          <w:rFonts w:ascii="Arial" w:hAnsi="Arial" w:cs="Arial"/>
        </w:rPr>
        <w:t xml:space="preserve"> NW implementation to provide</w:t>
      </w:r>
      <w:r w:rsidR="0068108C" w:rsidRPr="00E34D3D">
        <w:rPr>
          <w:rFonts w:ascii="Arial" w:hAnsi="Arial" w:cs="Arial"/>
        </w:rPr>
        <w:t xml:space="preserve"> UE-specific configuration of TA validation mechanisms </w:t>
      </w:r>
      <w:r w:rsidR="00604AA4" w:rsidRPr="00E34D3D">
        <w:rPr>
          <w:rFonts w:ascii="Arial" w:hAnsi="Arial" w:cs="Arial"/>
        </w:rPr>
        <w:t>if found beneficial.</w:t>
      </w:r>
    </w:p>
    <w:p w14:paraId="3017A0D3" w14:textId="50CE231A" w:rsidR="00906CAD" w:rsidRPr="00E34D3D" w:rsidRDefault="00FD390E" w:rsidP="005A18BB">
      <w:pPr>
        <w:rPr>
          <w:rFonts w:ascii="Arial" w:hAnsi="Arial" w:cs="Arial"/>
        </w:rPr>
      </w:pPr>
      <w:r w:rsidRPr="00E34D3D">
        <w:rPr>
          <w:rFonts w:ascii="Arial" w:hAnsi="Arial" w:cs="Arial"/>
        </w:rPr>
        <w:t>As agreed by</w:t>
      </w:r>
      <w:r w:rsidR="0091059A" w:rsidRPr="00E34D3D">
        <w:rPr>
          <w:rFonts w:ascii="Arial" w:hAnsi="Arial" w:cs="Arial"/>
        </w:rPr>
        <w:t xml:space="preserve"> RAN</w:t>
      </w:r>
      <w:r w:rsidRPr="00E34D3D">
        <w:rPr>
          <w:rFonts w:ascii="Arial" w:hAnsi="Arial" w:cs="Arial"/>
        </w:rPr>
        <w:t xml:space="preserve">1, it should also be configurable to have the </w:t>
      </w:r>
      <w:r w:rsidR="00844668" w:rsidRPr="00E34D3D">
        <w:rPr>
          <w:rFonts w:ascii="Arial" w:hAnsi="Arial" w:cs="Arial"/>
        </w:rPr>
        <w:t>TA valid in the entire cell</w:t>
      </w:r>
      <w:r w:rsidR="00744558" w:rsidRPr="00E34D3D">
        <w:rPr>
          <w:rFonts w:ascii="Arial" w:hAnsi="Arial" w:cs="Arial"/>
        </w:rPr>
        <w:t>:</w:t>
      </w:r>
    </w:p>
    <w:p w14:paraId="1ABE1581" w14:textId="77777777" w:rsidR="00044FDF" w:rsidRPr="002A5169" w:rsidRDefault="00044FDF" w:rsidP="00081678">
      <w:pPr>
        <w:spacing w:after="0" w:line="240" w:lineRule="auto"/>
        <w:ind w:left="567"/>
        <w:rPr>
          <w:rFonts w:ascii="Times" w:eastAsia="Batang" w:hAnsi="Times" w:cs="Times New Roman"/>
          <w:sz w:val="20"/>
          <w:szCs w:val="24"/>
          <w:lang w:val="en-GB"/>
        </w:rPr>
      </w:pPr>
      <w:r w:rsidRPr="002A5169">
        <w:rPr>
          <w:rFonts w:ascii="Times" w:eastAsia="Batang" w:hAnsi="Times" w:cs="Times New Roman"/>
          <w:sz w:val="20"/>
          <w:szCs w:val="24"/>
          <w:lang w:val="en-GB"/>
        </w:rPr>
        <w:t>In idle mode, a UE can be configured such that TA is always valid within a given cell.</w:t>
      </w:r>
    </w:p>
    <w:p w14:paraId="094BC01F" w14:textId="77777777" w:rsidR="00044FDF" w:rsidRPr="002A5169" w:rsidRDefault="00044FDF" w:rsidP="004C7CC2">
      <w:pPr>
        <w:numPr>
          <w:ilvl w:val="0"/>
          <w:numId w:val="19"/>
        </w:numPr>
        <w:spacing w:after="0" w:line="240" w:lineRule="auto"/>
        <w:ind w:left="567" w:firstLine="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FFS: up to RAN2 how to implement e.g. PUR Time Alignment Timer = infinity</w:t>
      </w:r>
    </w:p>
    <w:p w14:paraId="4622A9AD" w14:textId="77777777" w:rsidR="00AD745E" w:rsidRPr="00081678" w:rsidRDefault="00AD745E" w:rsidP="005A18BB">
      <w:pPr>
        <w:rPr>
          <w:rFonts w:ascii="Arial" w:hAnsi="Arial" w:cs="Arial"/>
          <w:lang w:val="en-GB"/>
        </w:rPr>
      </w:pPr>
    </w:p>
    <w:p w14:paraId="34EB5899" w14:textId="74F404D1" w:rsidR="00AD745E" w:rsidRPr="00E34D3D" w:rsidRDefault="00AD745E" w:rsidP="005A18BB">
      <w:pPr>
        <w:rPr>
          <w:rFonts w:ascii="Arial" w:hAnsi="Arial" w:cs="Arial"/>
        </w:rPr>
      </w:pPr>
      <w:r w:rsidRPr="00E34D3D">
        <w:rPr>
          <w:rFonts w:ascii="Arial" w:hAnsi="Arial" w:cs="Arial"/>
        </w:rPr>
        <w:t>Further, RAN1 has agreed:</w:t>
      </w:r>
    </w:p>
    <w:p w14:paraId="063E8204" w14:textId="77777777" w:rsidR="00AD745E" w:rsidRPr="002A5169" w:rsidRDefault="00AD745E" w:rsidP="00081678">
      <w:pPr>
        <w:spacing w:after="0" w:line="240" w:lineRule="auto"/>
        <w:ind w:left="567"/>
        <w:rPr>
          <w:rFonts w:ascii="Times" w:eastAsia="Batang" w:hAnsi="Times" w:cs="Times New Roman"/>
          <w:sz w:val="20"/>
          <w:szCs w:val="24"/>
          <w:lang w:val="en-GB" w:eastAsia="en-GB"/>
        </w:rPr>
      </w:pPr>
      <w:r w:rsidRPr="002A5169">
        <w:rPr>
          <w:rFonts w:ascii="Times" w:eastAsia="Batang" w:hAnsi="Times" w:cs="Times New Roman"/>
          <w:sz w:val="20"/>
          <w:szCs w:val="24"/>
          <w:lang w:val="en-GB"/>
        </w:rPr>
        <w:t>When the UE is configured to use several TA validation criteria, the TA is valid only when all the configured TA validation criteria are satisfied.</w:t>
      </w:r>
    </w:p>
    <w:p w14:paraId="5069CF32" w14:textId="77777777" w:rsidR="00AD745E" w:rsidRPr="00081678" w:rsidRDefault="00AD745E" w:rsidP="005A18BB">
      <w:pPr>
        <w:rPr>
          <w:rFonts w:ascii="Arial" w:hAnsi="Arial" w:cs="Arial"/>
          <w:lang w:val="en-GB"/>
        </w:rPr>
      </w:pPr>
    </w:p>
    <w:p w14:paraId="656E96D4" w14:textId="0C0C0FA2" w:rsidR="00000D5E" w:rsidRPr="00E34D3D" w:rsidRDefault="00921E73" w:rsidP="005A18BB">
      <w:pPr>
        <w:rPr>
          <w:rFonts w:ascii="Arial" w:hAnsi="Arial" w:cs="Arial"/>
        </w:rPr>
      </w:pPr>
      <w:r w:rsidRPr="00E34D3D">
        <w:rPr>
          <w:rFonts w:ascii="Arial" w:hAnsi="Arial" w:cs="Arial"/>
        </w:rPr>
        <w:t>The second agreement implies that if no TA validation criteria are configured</w:t>
      </w:r>
      <w:r w:rsidR="009319D5" w:rsidRPr="00E34D3D">
        <w:rPr>
          <w:rFonts w:ascii="Arial" w:hAnsi="Arial" w:cs="Arial"/>
        </w:rPr>
        <w:t xml:space="preserve"> in the cell, the TA would be always valid in the cell. Hence, making the first agreement possible.</w:t>
      </w:r>
      <w:r w:rsidR="00970E1E" w:rsidRPr="00E34D3D">
        <w:rPr>
          <w:rFonts w:ascii="Arial" w:hAnsi="Arial" w:cs="Arial"/>
        </w:rPr>
        <w:t xml:space="preserve"> </w:t>
      </w:r>
      <w:r w:rsidR="0017024F" w:rsidRPr="00E34D3D">
        <w:rPr>
          <w:rFonts w:ascii="Arial" w:hAnsi="Arial" w:cs="Arial"/>
        </w:rPr>
        <w:t>This could either be achieved by</w:t>
      </w:r>
      <w:r w:rsidR="00887D9F" w:rsidRPr="00E34D3D">
        <w:rPr>
          <w:rFonts w:ascii="Arial" w:hAnsi="Arial" w:cs="Arial"/>
        </w:rPr>
        <w:t xml:space="preserve"> omitting the configuration of the TA Timer altogether if it is an optional parameter</w:t>
      </w:r>
      <w:r w:rsidR="0017024F" w:rsidRPr="00E34D3D">
        <w:rPr>
          <w:rFonts w:ascii="Arial" w:hAnsi="Arial" w:cs="Arial"/>
        </w:rPr>
        <w:t xml:space="preserve"> </w:t>
      </w:r>
      <w:r w:rsidR="00887D9F" w:rsidRPr="00E34D3D">
        <w:rPr>
          <w:rFonts w:ascii="Arial" w:hAnsi="Arial" w:cs="Arial"/>
        </w:rPr>
        <w:t xml:space="preserve">or </w:t>
      </w:r>
      <w:r w:rsidR="0017024F" w:rsidRPr="00E34D3D">
        <w:rPr>
          <w:rFonts w:ascii="Arial" w:hAnsi="Arial" w:cs="Arial"/>
        </w:rPr>
        <w:t xml:space="preserve">configuring the TA Timer value equal to ‘infinity’ </w:t>
      </w:r>
      <w:r w:rsidR="00887D9F" w:rsidRPr="00E34D3D">
        <w:rPr>
          <w:rFonts w:ascii="Arial" w:hAnsi="Arial" w:cs="Arial"/>
        </w:rPr>
        <w:t>(with a clarification in Field Description)</w:t>
      </w:r>
      <w:r w:rsidR="00C80D78" w:rsidRPr="00E34D3D">
        <w:rPr>
          <w:rFonts w:ascii="Arial" w:hAnsi="Arial" w:cs="Arial"/>
        </w:rPr>
        <w:t>.</w:t>
      </w:r>
      <w:r w:rsidR="005F7B03" w:rsidRPr="00E34D3D">
        <w:rPr>
          <w:rFonts w:ascii="Arial" w:hAnsi="Arial" w:cs="Arial"/>
        </w:rPr>
        <w:t xml:space="preserve"> However, </w:t>
      </w:r>
      <w:r w:rsidR="00C80D78" w:rsidRPr="00E34D3D">
        <w:rPr>
          <w:rFonts w:ascii="Arial" w:hAnsi="Arial" w:cs="Arial"/>
        </w:rPr>
        <w:t xml:space="preserve">the first </w:t>
      </w:r>
      <w:r w:rsidR="0083478D" w:rsidRPr="00E34D3D">
        <w:rPr>
          <w:rFonts w:ascii="Arial" w:hAnsi="Arial" w:cs="Arial"/>
        </w:rPr>
        <w:t>TA validation criterion, serving cell change, is not configurable which is sensible since the UE cannot reuse the TA in case of cell re-selection.</w:t>
      </w:r>
    </w:p>
    <w:p w14:paraId="45C0616A" w14:textId="53CEB8EA" w:rsidR="00D25C06" w:rsidRPr="00E34D3D" w:rsidRDefault="00E82961" w:rsidP="00200E9B">
      <w:pPr>
        <w:spacing w:after="120"/>
        <w:rPr>
          <w:rFonts w:ascii="Arial" w:hAnsi="Arial" w:cs="Arial"/>
        </w:rPr>
      </w:pPr>
      <w:r w:rsidRPr="00E34D3D">
        <w:rPr>
          <w:rFonts w:ascii="Arial" w:hAnsi="Arial" w:cs="Arial"/>
        </w:rPr>
        <w:lastRenderedPageBreak/>
        <w:t>In our under</w:t>
      </w:r>
      <w:r w:rsidR="00802DFD" w:rsidRPr="00E34D3D">
        <w:rPr>
          <w:rFonts w:ascii="Arial" w:hAnsi="Arial" w:cs="Arial"/>
        </w:rPr>
        <w:t xml:space="preserve">standing the purpose of </w:t>
      </w:r>
      <w:r w:rsidR="00F9440C" w:rsidRPr="00E34D3D">
        <w:rPr>
          <w:rFonts w:ascii="Arial" w:hAnsi="Arial" w:cs="Arial"/>
        </w:rPr>
        <w:t>the</w:t>
      </w:r>
      <w:r w:rsidR="00802DFD" w:rsidRPr="00E34D3D">
        <w:rPr>
          <w:rFonts w:ascii="Arial" w:hAnsi="Arial" w:cs="Arial"/>
        </w:rPr>
        <w:t xml:space="preserve"> </w:t>
      </w:r>
      <w:r w:rsidR="00FA43AE" w:rsidRPr="00E34D3D">
        <w:rPr>
          <w:rFonts w:ascii="Arial" w:hAnsi="Arial" w:cs="Arial"/>
        </w:rPr>
        <w:t xml:space="preserve">PUR time alignment timer agreed by RAN1 in Idle is </w:t>
      </w:r>
      <w:r w:rsidR="00436A57" w:rsidRPr="00E34D3D">
        <w:rPr>
          <w:rFonts w:ascii="Arial" w:hAnsi="Arial" w:cs="Arial"/>
        </w:rPr>
        <w:t xml:space="preserve">to have a </w:t>
      </w:r>
      <w:r w:rsidR="00F9440C" w:rsidRPr="00E34D3D">
        <w:rPr>
          <w:rFonts w:ascii="Arial" w:hAnsi="Arial" w:cs="Arial"/>
        </w:rPr>
        <w:t>‘</w:t>
      </w:r>
      <w:r w:rsidR="00436A57" w:rsidRPr="00E34D3D">
        <w:rPr>
          <w:rFonts w:ascii="Arial" w:hAnsi="Arial" w:cs="Arial"/>
        </w:rPr>
        <w:t>fail-safe</w:t>
      </w:r>
      <w:r w:rsidR="00F9440C" w:rsidRPr="00E34D3D">
        <w:rPr>
          <w:rFonts w:ascii="Arial" w:hAnsi="Arial" w:cs="Arial"/>
        </w:rPr>
        <w:t xml:space="preserve">’. That is, unlike in </w:t>
      </w:r>
      <w:r w:rsidR="009D7A60" w:rsidRPr="00E34D3D">
        <w:rPr>
          <w:rFonts w:ascii="Arial" w:hAnsi="Arial" w:cs="Arial"/>
        </w:rPr>
        <w:t xml:space="preserve">Connected mode where the </w:t>
      </w:r>
      <w:proofErr w:type="spellStart"/>
      <w:r w:rsidR="009D7A60" w:rsidRPr="00E34D3D">
        <w:rPr>
          <w:rFonts w:ascii="Arial" w:hAnsi="Arial" w:cs="Arial"/>
        </w:rPr>
        <w:t>eNB</w:t>
      </w:r>
      <w:proofErr w:type="spellEnd"/>
      <w:r w:rsidR="009D7A60" w:rsidRPr="00E34D3D">
        <w:rPr>
          <w:rFonts w:ascii="Arial" w:hAnsi="Arial" w:cs="Arial"/>
        </w:rPr>
        <w:t xml:space="preserve"> have some knowledge of the connection length and UE speed, the configuration of a PUR time alignment timer in Idle </w:t>
      </w:r>
      <w:r w:rsidR="009F1E27" w:rsidRPr="00E34D3D">
        <w:rPr>
          <w:rFonts w:ascii="Arial" w:hAnsi="Arial" w:cs="Arial"/>
        </w:rPr>
        <w:t>is highly arbitrary</w:t>
      </w:r>
      <w:r w:rsidR="00CD3F93" w:rsidRPr="00E34D3D">
        <w:rPr>
          <w:rFonts w:ascii="Arial" w:hAnsi="Arial" w:cs="Arial"/>
        </w:rPr>
        <w:t>. The only purpose would then be to configure a</w:t>
      </w:r>
      <w:r w:rsidR="00C13A4F" w:rsidRPr="00E34D3D">
        <w:rPr>
          <w:rFonts w:ascii="Arial" w:hAnsi="Arial" w:cs="Arial"/>
        </w:rPr>
        <w:t>n</w:t>
      </w:r>
      <w:r w:rsidR="00CD3F93" w:rsidRPr="00E34D3D">
        <w:rPr>
          <w:rFonts w:ascii="Arial" w:hAnsi="Arial" w:cs="Arial"/>
        </w:rPr>
        <w:t xml:space="preserve"> upper limit </w:t>
      </w:r>
      <w:r w:rsidR="00C13A4F" w:rsidRPr="00E34D3D">
        <w:rPr>
          <w:rFonts w:ascii="Arial" w:hAnsi="Arial" w:cs="Arial"/>
        </w:rPr>
        <w:t xml:space="preserve">of how long the PUR configuration could be used by the UE before it needs to connect to </w:t>
      </w:r>
      <w:proofErr w:type="spellStart"/>
      <w:r w:rsidR="00C13A4F" w:rsidRPr="00E34D3D">
        <w:rPr>
          <w:rFonts w:ascii="Arial" w:hAnsi="Arial" w:cs="Arial"/>
        </w:rPr>
        <w:t>eNB</w:t>
      </w:r>
      <w:proofErr w:type="spellEnd"/>
      <w:r w:rsidR="00C13A4F" w:rsidRPr="00E34D3D">
        <w:rPr>
          <w:rFonts w:ascii="Arial" w:hAnsi="Arial" w:cs="Arial"/>
        </w:rPr>
        <w:t xml:space="preserve"> by legacy procedure and see that </w:t>
      </w:r>
      <w:r w:rsidR="007C5885" w:rsidRPr="00E34D3D">
        <w:rPr>
          <w:rFonts w:ascii="Arial" w:hAnsi="Arial" w:cs="Arial"/>
        </w:rPr>
        <w:t>everything is still valid (i.e. ‘</w:t>
      </w:r>
      <w:r w:rsidR="00436A57" w:rsidRPr="00E34D3D">
        <w:rPr>
          <w:rFonts w:ascii="Arial" w:hAnsi="Arial" w:cs="Arial"/>
        </w:rPr>
        <w:t>fail-safe</w:t>
      </w:r>
      <w:r w:rsidR="007C5885" w:rsidRPr="00E34D3D">
        <w:rPr>
          <w:rFonts w:ascii="Arial" w:hAnsi="Arial" w:cs="Arial"/>
        </w:rPr>
        <w:t xml:space="preserve">’ in case something should go wrong). However, </w:t>
      </w:r>
      <w:r w:rsidR="00495ADC" w:rsidRPr="00E34D3D">
        <w:rPr>
          <w:rFonts w:ascii="Arial" w:hAnsi="Arial" w:cs="Arial"/>
        </w:rPr>
        <w:t xml:space="preserve">in </w:t>
      </w:r>
      <w:r w:rsidR="00397FF7" w:rsidRPr="00E34D3D">
        <w:rPr>
          <w:rFonts w:ascii="Arial" w:hAnsi="Arial" w:cs="Arial"/>
        </w:rPr>
        <w:t xml:space="preserve">RAN2 </w:t>
      </w:r>
      <w:r w:rsidR="00A60EF8" w:rsidRPr="00E34D3D">
        <w:rPr>
          <w:rFonts w:ascii="Arial" w:hAnsi="Arial" w:cs="Arial"/>
        </w:rPr>
        <w:t xml:space="preserve">the thinking has been that PUR is configured for </w:t>
      </w:r>
      <w:proofErr w:type="gramStart"/>
      <w:r w:rsidR="00A60EF8" w:rsidRPr="00E34D3D">
        <w:rPr>
          <w:rFonts w:ascii="Arial" w:hAnsi="Arial" w:cs="Arial"/>
        </w:rPr>
        <w:t>a number of</w:t>
      </w:r>
      <w:proofErr w:type="gramEnd"/>
      <w:r w:rsidR="00A60EF8" w:rsidRPr="00E34D3D">
        <w:rPr>
          <w:rFonts w:ascii="Arial" w:hAnsi="Arial" w:cs="Arial"/>
        </w:rPr>
        <w:t xml:space="preserve"> </w:t>
      </w:r>
      <w:r w:rsidR="00200E9B" w:rsidRPr="00E34D3D">
        <w:rPr>
          <w:rFonts w:ascii="Arial" w:hAnsi="Arial" w:cs="Arial"/>
        </w:rPr>
        <w:t>allocations</w:t>
      </w:r>
      <w:r w:rsidR="003E3D58" w:rsidRPr="00E34D3D">
        <w:rPr>
          <w:rFonts w:ascii="Arial" w:hAnsi="Arial" w:cs="Arial"/>
        </w:rPr>
        <w:t xml:space="preserve"> </w:t>
      </w:r>
      <w:r w:rsidR="003E3D58" w:rsidRPr="00E34D3D">
        <w:rPr>
          <w:rFonts w:ascii="Arial" w:hAnsi="Arial" w:cs="Arial"/>
          <w:i/>
        </w:rPr>
        <w:t>n</w:t>
      </w:r>
      <w:r w:rsidR="00DE0FC6" w:rsidRPr="00E34D3D">
        <w:rPr>
          <w:rFonts w:ascii="Arial" w:hAnsi="Arial" w:cs="Arial"/>
        </w:rPr>
        <w:t xml:space="preserve"> (see </w:t>
      </w:r>
      <w:r w:rsidR="000043BF" w:rsidRPr="00E34D3D">
        <w:rPr>
          <w:rFonts w:ascii="Arial" w:hAnsi="Arial" w:cs="Arial"/>
        </w:rPr>
        <w:t xml:space="preserve">e.g. Q8, </w:t>
      </w:r>
      <w:r w:rsidR="001E01B3" w:rsidRPr="00E34D3D">
        <w:rPr>
          <w:rFonts w:ascii="Arial" w:hAnsi="Arial" w:cs="Arial"/>
        </w:rPr>
        <w:t xml:space="preserve">Q13, </w:t>
      </w:r>
      <w:r w:rsidR="000043BF" w:rsidRPr="00E34D3D">
        <w:rPr>
          <w:rFonts w:ascii="Arial" w:hAnsi="Arial" w:cs="Arial"/>
        </w:rPr>
        <w:t xml:space="preserve">Q14, Q15 in </w:t>
      </w:r>
      <w:r w:rsidR="00DE0FC6" w:rsidRPr="00E34D3D">
        <w:rPr>
          <w:rFonts w:ascii="Arial" w:hAnsi="Arial" w:cs="Arial"/>
        </w:rPr>
        <w:t>email discussion 104#43 report in R2-1905204)</w:t>
      </w:r>
      <w:r w:rsidR="001E01B3" w:rsidRPr="00E34D3D">
        <w:rPr>
          <w:rFonts w:ascii="Arial" w:hAnsi="Arial" w:cs="Arial"/>
        </w:rPr>
        <w:t xml:space="preserve">. In fact, although not clear from the final formulation the following RAN2 agreement </w:t>
      </w:r>
      <w:r w:rsidR="00EC0D6E" w:rsidRPr="00E34D3D">
        <w:rPr>
          <w:rFonts w:ascii="Arial" w:hAnsi="Arial" w:cs="Arial"/>
        </w:rPr>
        <w:t>concerns the upper limit of this parameter n:</w:t>
      </w:r>
    </w:p>
    <w:p w14:paraId="29742EC8" w14:textId="77777777" w:rsidR="00EC0D6E" w:rsidRPr="00E34D3D" w:rsidRDefault="00EC0D6E" w:rsidP="00EC0D6E">
      <w:pPr>
        <w:pStyle w:val="Agreement"/>
        <w:spacing w:before="0" w:line="240" w:lineRule="auto"/>
        <w:ind w:left="1616" w:hanging="357"/>
        <w:rPr>
          <w:rFonts w:cs="Arial"/>
          <w:sz w:val="20"/>
        </w:rPr>
      </w:pPr>
      <w:r w:rsidRPr="00E34D3D">
        <w:rPr>
          <w:rFonts w:cs="Arial"/>
          <w:sz w:val="20"/>
        </w:rPr>
        <w:t>D-PUR configuration can be set up without a pre-defined end (infinite).</w:t>
      </w:r>
    </w:p>
    <w:p w14:paraId="786D08CA" w14:textId="3C98BF07" w:rsidR="00EC0D6E" w:rsidRPr="00E34D3D" w:rsidRDefault="00200E9B" w:rsidP="00EC0D6E">
      <w:pPr>
        <w:spacing w:before="120"/>
        <w:rPr>
          <w:rFonts w:ascii="Arial" w:hAnsi="Arial" w:cs="Arial"/>
        </w:rPr>
      </w:pPr>
      <w:r w:rsidRPr="00E34D3D">
        <w:rPr>
          <w:rFonts w:ascii="Arial" w:hAnsi="Arial" w:cs="Arial"/>
        </w:rPr>
        <w:t>The purpose of limiting the number of PUR allocations configured</w:t>
      </w:r>
      <w:r w:rsidR="000C2D6F" w:rsidRPr="00E34D3D">
        <w:rPr>
          <w:rFonts w:ascii="Arial" w:hAnsi="Arial" w:cs="Arial"/>
        </w:rPr>
        <w:t xml:space="preserve"> would again be</w:t>
      </w:r>
      <w:r w:rsidR="00DC7A5D" w:rsidRPr="00E34D3D">
        <w:rPr>
          <w:rFonts w:ascii="Arial" w:hAnsi="Arial" w:cs="Arial"/>
        </w:rPr>
        <w:t xml:space="preserve"> a</w:t>
      </w:r>
      <w:r w:rsidR="000C2D6F" w:rsidRPr="00E34D3D">
        <w:rPr>
          <w:rFonts w:ascii="Arial" w:hAnsi="Arial" w:cs="Arial"/>
        </w:rPr>
        <w:t xml:space="preserve"> ‘</w:t>
      </w:r>
      <w:r w:rsidR="00436A57" w:rsidRPr="00E34D3D">
        <w:rPr>
          <w:rFonts w:ascii="Arial" w:hAnsi="Arial" w:cs="Arial"/>
        </w:rPr>
        <w:t>fail-safe</w:t>
      </w:r>
      <w:r w:rsidR="000C2D6F" w:rsidRPr="00E34D3D">
        <w:rPr>
          <w:rFonts w:ascii="Arial" w:hAnsi="Arial" w:cs="Arial"/>
        </w:rPr>
        <w:t xml:space="preserve">’ and it seems that RAN1 and RAN2 are specifying different parameters for the same functionality. </w:t>
      </w:r>
    </w:p>
    <w:p w14:paraId="36E2751A" w14:textId="069B0F4A" w:rsidR="00B46A7C" w:rsidRPr="00E34D3D" w:rsidRDefault="00B46A7C" w:rsidP="00EC0D6E">
      <w:pPr>
        <w:spacing w:before="120"/>
        <w:rPr>
          <w:rFonts w:ascii="Arial" w:hAnsi="Arial" w:cs="Arial"/>
        </w:rPr>
      </w:pPr>
      <w:r w:rsidRPr="00E34D3D">
        <w:rPr>
          <w:rFonts w:ascii="Arial" w:hAnsi="Arial" w:cs="Arial"/>
        </w:rPr>
        <w:t>Based on this discussion we propose the following:</w:t>
      </w:r>
    </w:p>
    <w:p w14:paraId="154A6386" w14:textId="77777777" w:rsidR="00B46A7C" w:rsidRPr="00081678" w:rsidRDefault="00B46A7C" w:rsidP="00B46A7C">
      <w:pPr>
        <w:pStyle w:val="Proposal"/>
        <w:rPr>
          <w:lang w:val="en-GB"/>
        </w:rPr>
      </w:pPr>
      <w:bookmarkStart w:id="6" w:name="_Toc7752498"/>
      <w:r>
        <w:rPr>
          <w:lang w:val="en-GB"/>
        </w:rPr>
        <w:t xml:space="preserve">TA is valid in the entire cell if </w:t>
      </w:r>
      <w:r w:rsidRPr="00E34D3D">
        <w:t xml:space="preserve">none of the optional TA validation mechanisms are configured by </w:t>
      </w:r>
      <w:proofErr w:type="spellStart"/>
      <w:r w:rsidRPr="00E34D3D">
        <w:t>eNB</w:t>
      </w:r>
      <w:proofErr w:type="spellEnd"/>
      <w:r w:rsidRPr="00E34D3D">
        <w:t>.</w:t>
      </w:r>
      <w:bookmarkEnd w:id="6"/>
    </w:p>
    <w:p w14:paraId="5DB12B94" w14:textId="4C871C80" w:rsidR="00E52586" w:rsidRPr="00E34D3D" w:rsidRDefault="00E52586" w:rsidP="00F67E2A">
      <w:pPr>
        <w:pStyle w:val="Proposal"/>
      </w:pPr>
      <w:bookmarkStart w:id="7" w:name="_Toc7752499"/>
      <w:r w:rsidRPr="00E34D3D">
        <w:t xml:space="preserve">The PUR Time Alignment Time (RAN1) and </w:t>
      </w:r>
      <w:r w:rsidR="00F67E2A" w:rsidRPr="00E34D3D">
        <w:t xml:space="preserve">number of PUR allocations </w:t>
      </w:r>
      <w:r w:rsidR="00F67E2A" w:rsidRPr="00E34D3D">
        <w:rPr>
          <w:i/>
        </w:rPr>
        <w:t>n</w:t>
      </w:r>
      <w:r w:rsidR="00F67E2A" w:rsidRPr="00E34D3D">
        <w:t xml:space="preserve"> (RAN2) are addressing the same functionality, RAN2 should discuss how to avoid redundant configuration.</w:t>
      </w:r>
      <w:bookmarkEnd w:id="7"/>
    </w:p>
    <w:p w14:paraId="1CFA05D0" w14:textId="2DD40A79" w:rsidR="00102614" w:rsidRDefault="00102614" w:rsidP="00811AF9">
      <w:pPr>
        <w:pStyle w:val="Proposal"/>
        <w:rPr>
          <w:lang w:val="en-GB"/>
        </w:rPr>
      </w:pPr>
      <w:bookmarkStart w:id="8" w:name="_Toc7752500"/>
      <w:r>
        <w:rPr>
          <w:lang w:val="en-GB"/>
        </w:rPr>
        <w:t>The TA validation criter</w:t>
      </w:r>
      <w:r w:rsidR="00953216">
        <w:rPr>
          <w:lang w:val="en-GB"/>
        </w:rPr>
        <w:t>i</w:t>
      </w:r>
      <w:r w:rsidR="00FE426F">
        <w:rPr>
          <w:lang w:val="en-GB"/>
        </w:rPr>
        <w:t>on</w:t>
      </w:r>
      <w:r>
        <w:rPr>
          <w:lang w:val="en-GB"/>
        </w:rPr>
        <w:t xml:space="preserve"> </w:t>
      </w:r>
      <w:r w:rsidR="00AB7773">
        <w:rPr>
          <w:lang w:val="en-GB"/>
        </w:rPr>
        <w:t>‘</w:t>
      </w:r>
      <w:r w:rsidR="00AB7773" w:rsidRPr="00AB7773">
        <w:rPr>
          <w:lang w:val="en-GB"/>
        </w:rPr>
        <w:t xml:space="preserve">Serving cell RSRP </w:t>
      </w:r>
      <w:proofErr w:type="gramStart"/>
      <w:r w:rsidR="00AB7773" w:rsidRPr="00AB7773">
        <w:rPr>
          <w:lang w:val="en-GB"/>
        </w:rPr>
        <w:t>changes</w:t>
      </w:r>
      <w:r>
        <w:rPr>
          <w:lang w:val="en-GB"/>
        </w:rPr>
        <w:t>‘</w:t>
      </w:r>
      <w:r w:rsidR="00FE426F">
        <w:rPr>
          <w:lang w:val="en-GB"/>
        </w:rPr>
        <w:t xml:space="preserve"> is</w:t>
      </w:r>
      <w:proofErr w:type="gramEnd"/>
      <w:r w:rsidR="005F7B03">
        <w:rPr>
          <w:lang w:val="en-GB"/>
        </w:rPr>
        <w:t xml:space="preserve"> optionally configured</w:t>
      </w:r>
      <w:r w:rsidR="00B46A7C">
        <w:rPr>
          <w:lang w:val="en-GB"/>
        </w:rPr>
        <w:t xml:space="preserve"> via dedicated RRC </w:t>
      </w:r>
      <w:r w:rsidR="00FE426F">
        <w:rPr>
          <w:lang w:val="en-GB"/>
        </w:rPr>
        <w:t>signalling.</w:t>
      </w:r>
      <w:bookmarkEnd w:id="8"/>
    </w:p>
    <w:p w14:paraId="483EF5D6" w14:textId="415F5C97" w:rsidR="00FE426F" w:rsidRPr="00844668" w:rsidRDefault="00FE426F" w:rsidP="00FE426F">
      <w:pPr>
        <w:pStyle w:val="Proposal"/>
        <w:rPr>
          <w:lang w:val="en-GB"/>
        </w:rPr>
      </w:pPr>
      <w:bookmarkStart w:id="9" w:name="_Toc7752501"/>
      <w:r>
        <w:rPr>
          <w:lang w:val="en-GB"/>
        </w:rPr>
        <w:t>The TA validation criter</w:t>
      </w:r>
      <w:r w:rsidR="00953216">
        <w:rPr>
          <w:lang w:val="en-GB"/>
        </w:rPr>
        <w:t>ion</w:t>
      </w:r>
      <w:r>
        <w:rPr>
          <w:lang w:val="en-GB"/>
        </w:rPr>
        <w:t xml:space="preserve"> ‘</w:t>
      </w:r>
      <w:r w:rsidRPr="00102614">
        <w:rPr>
          <w:lang w:val="en-GB"/>
        </w:rPr>
        <w:t>Time Alignment Timer for idle mode</w:t>
      </w:r>
      <w:r>
        <w:rPr>
          <w:lang w:val="en-GB"/>
        </w:rPr>
        <w:t xml:space="preserve">’ </w:t>
      </w:r>
      <w:r w:rsidR="00953216">
        <w:rPr>
          <w:lang w:val="en-GB"/>
        </w:rPr>
        <w:t>is</w:t>
      </w:r>
      <w:r>
        <w:rPr>
          <w:lang w:val="en-GB"/>
        </w:rPr>
        <w:t xml:space="preserve"> optionally configured via dedicated RRC signal</w:t>
      </w:r>
      <w:r w:rsidR="00622510">
        <w:rPr>
          <w:lang w:val="en-GB"/>
        </w:rPr>
        <w:t>l</w:t>
      </w:r>
      <w:r>
        <w:rPr>
          <w:lang w:val="en-GB"/>
        </w:rPr>
        <w:t>ing (alternatively the value ‘infinity’</w:t>
      </w:r>
      <w:r w:rsidR="00C26D0D">
        <w:rPr>
          <w:lang w:val="en-GB"/>
        </w:rPr>
        <w:t xml:space="preserve"> is included</w:t>
      </w:r>
      <w:r>
        <w:rPr>
          <w:lang w:val="en-GB"/>
        </w:rPr>
        <w:t>)</w:t>
      </w:r>
      <w:r w:rsidR="00953216">
        <w:rPr>
          <w:lang w:val="en-GB"/>
        </w:rPr>
        <w:t xml:space="preserve">, or replaced by </w:t>
      </w:r>
      <w:r w:rsidR="0040297E">
        <w:rPr>
          <w:lang w:val="en-GB"/>
        </w:rPr>
        <w:t xml:space="preserve">the </w:t>
      </w:r>
      <w:r w:rsidR="0040297E" w:rsidRPr="00E34D3D">
        <w:t xml:space="preserve">number of PUR allocations </w:t>
      </w:r>
      <w:r w:rsidR="0040297E" w:rsidRPr="00E34D3D">
        <w:rPr>
          <w:i/>
        </w:rPr>
        <w:t>n.</w:t>
      </w:r>
      <w:bookmarkEnd w:id="9"/>
    </w:p>
    <w:p w14:paraId="441BE189" w14:textId="77777777" w:rsidR="00B267D2" w:rsidRPr="00C82672" w:rsidRDefault="00B267D2" w:rsidP="005A18BB">
      <w:pPr>
        <w:rPr>
          <w:rFonts w:ascii="Arial" w:hAnsi="Arial" w:cs="Arial"/>
          <w:lang w:val="en-GB"/>
        </w:rPr>
      </w:pPr>
    </w:p>
    <w:p w14:paraId="60E61EFF" w14:textId="65C61B11" w:rsidR="00C210EE" w:rsidRDefault="00FF11CD" w:rsidP="00FF11CD">
      <w:pPr>
        <w:pStyle w:val="Heading2"/>
      </w:pPr>
      <w:r>
        <w:t>2.2</w:t>
      </w:r>
      <w:r>
        <w:tab/>
        <w:t>PUR release upon TA invalidation</w:t>
      </w:r>
    </w:p>
    <w:p w14:paraId="0DFC29E7" w14:textId="3BDE7974" w:rsidR="00543697" w:rsidRPr="00E34D3D" w:rsidRDefault="00DC3F2B" w:rsidP="005A18BB">
      <w:pPr>
        <w:rPr>
          <w:rFonts w:ascii="Arial" w:hAnsi="Arial" w:cs="Arial"/>
        </w:rPr>
      </w:pPr>
      <w:r w:rsidRPr="00E34D3D">
        <w:rPr>
          <w:rFonts w:ascii="Arial" w:hAnsi="Arial" w:cs="Arial"/>
        </w:rPr>
        <w:t>So</w:t>
      </w:r>
      <w:r w:rsidR="00543697" w:rsidRPr="00E34D3D">
        <w:rPr>
          <w:rFonts w:ascii="Arial" w:hAnsi="Arial" w:cs="Arial"/>
        </w:rPr>
        <w:t xml:space="preserve"> </w:t>
      </w:r>
      <w:r w:rsidRPr="00E34D3D">
        <w:rPr>
          <w:rFonts w:ascii="Arial" w:hAnsi="Arial" w:cs="Arial"/>
        </w:rPr>
        <w:t xml:space="preserve">far it </w:t>
      </w:r>
      <w:r w:rsidR="00543697" w:rsidRPr="00E34D3D">
        <w:rPr>
          <w:rFonts w:ascii="Arial" w:hAnsi="Arial" w:cs="Arial"/>
        </w:rPr>
        <w:t xml:space="preserve">has been agreed </w:t>
      </w:r>
      <w:r w:rsidR="00BE3AE2" w:rsidRPr="00E34D3D">
        <w:rPr>
          <w:rFonts w:ascii="Arial" w:hAnsi="Arial" w:cs="Arial"/>
        </w:rPr>
        <w:t xml:space="preserve">that D-PUR is released </w:t>
      </w:r>
      <w:r w:rsidR="00543697" w:rsidRPr="00E34D3D">
        <w:rPr>
          <w:rFonts w:ascii="Arial" w:hAnsi="Arial" w:cs="Arial"/>
        </w:rPr>
        <w:t>when the UE moves to a new cell:</w:t>
      </w:r>
    </w:p>
    <w:p w14:paraId="3E9C0677" w14:textId="56E8529B" w:rsidR="00543697" w:rsidRPr="00E34D3D" w:rsidRDefault="00543697" w:rsidP="00543697">
      <w:pPr>
        <w:pStyle w:val="Agreement"/>
        <w:spacing w:before="0" w:after="60"/>
        <w:ind w:hanging="357"/>
        <w:rPr>
          <w:rFonts w:cs="Arial"/>
          <w:sz w:val="18"/>
          <w:szCs w:val="18"/>
        </w:rPr>
      </w:pPr>
      <w:r w:rsidRPr="00E34D3D">
        <w:rPr>
          <w:rFonts w:cs="Arial"/>
          <w:sz w:val="18"/>
          <w:szCs w:val="18"/>
        </w:rPr>
        <w:t>The UE must release the D-PUR when it does a RA procedure on a new cell.</w:t>
      </w:r>
    </w:p>
    <w:p w14:paraId="5DAE79A7" w14:textId="31D4F86D" w:rsidR="000826AA" w:rsidRPr="00E34D3D" w:rsidRDefault="00543697" w:rsidP="0058335D">
      <w:pPr>
        <w:spacing w:before="120"/>
        <w:rPr>
          <w:rFonts w:ascii="Arial" w:hAnsi="Arial" w:cs="Arial"/>
        </w:rPr>
      </w:pPr>
      <w:r w:rsidRPr="00E34D3D">
        <w:rPr>
          <w:rFonts w:ascii="Arial" w:hAnsi="Arial" w:cs="Arial"/>
        </w:rPr>
        <w:t xml:space="preserve">But according to the WI-objective </w:t>
      </w:r>
      <w:r w:rsidR="0092220C" w:rsidRPr="00E34D3D">
        <w:rPr>
          <w:rFonts w:ascii="Arial" w:hAnsi="Arial" w:cs="Arial"/>
        </w:rPr>
        <w:t xml:space="preserve">and RAN1 agreements the UE is only allowed to use PUR with a valid TA. </w:t>
      </w:r>
      <w:r w:rsidR="004E5E2D" w:rsidRPr="00E34D3D">
        <w:rPr>
          <w:rFonts w:ascii="Arial" w:hAnsi="Arial" w:cs="Arial"/>
        </w:rPr>
        <w:t>Therefore</w:t>
      </w:r>
      <w:r w:rsidR="000826AA" w:rsidRPr="00E34D3D">
        <w:rPr>
          <w:rFonts w:ascii="Arial" w:hAnsi="Arial" w:cs="Arial"/>
        </w:rPr>
        <w:t>,</w:t>
      </w:r>
      <w:r w:rsidR="0092220C" w:rsidRPr="00E34D3D">
        <w:rPr>
          <w:rFonts w:ascii="Arial" w:hAnsi="Arial" w:cs="Arial"/>
        </w:rPr>
        <w:t xml:space="preserve"> the behavior when the TA is invalidated in the same cell is an </w:t>
      </w:r>
      <w:r w:rsidR="005A18BB" w:rsidRPr="00E34D3D">
        <w:rPr>
          <w:rFonts w:ascii="Arial" w:hAnsi="Arial" w:cs="Arial"/>
        </w:rPr>
        <w:t xml:space="preserve">open issue. </w:t>
      </w:r>
      <w:r w:rsidR="000826AA" w:rsidRPr="00E34D3D">
        <w:rPr>
          <w:rFonts w:ascii="Arial" w:hAnsi="Arial" w:cs="Arial"/>
        </w:rPr>
        <w:t>RAN1 has made the following agreement regarding this:</w:t>
      </w:r>
    </w:p>
    <w:p w14:paraId="6E749052" w14:textId="77777777" w:rsidR="000826AA" w:rsidRPr="002A5169" w:rsidRDefault="000826AA" w:rsidP="000826AA">
      <w:pPr>
        <w:spacing w:after="0" w:line="240" w:lineRule="auto"/>
        <w:ind w:left="567"/>
        <w:rPr>
          <w:rFonts w:ascii="Times" w:eastAsia="Batang" w:hAnsi="Times" w:cs="Times New Roman"/>
          <w:b/>
          <w:sz w:val="20"/>
          <w:szCs w:val="24"/>
          <w:highlight w:val="green"/>
          <w:lang w:val="en-GB" w:eastAsia="x-none"/>
        </w:rPr>
      </w:pPr>
      <w:r w:rsidRPr="002A5169">
        <w:rPr>
          <w:rFonts w:ascii="Times" w:eastAsia="Batang" w:hAnsi="Times" w:cs="Times New Roman"/>
          <w:b/>
          <w:sz w:val="20"/>
          <w:szCs w:val="24"/>
          <w:highlight w:val="green"/>
          <w:lang w:val="en-GB" w:eastAsia="x-none"/>
        </w:rPr>
        <w:t xml:space="preserve">Agreement </w:t>
      </w:r>
    </w:p>
    <w:p w14:paraId="08D188FD" w14:textId="77777777" w:rsidR="000826AA" w:rsidRPr="002A5169" w:rsidRDefault="000826AA" w:rsidP="000826AA">
      <w:pPr>
        <w:spacing w:after="0" w:line="240" w:lineRule="auto"/>
        <w:ind w:left="567"/>
        <w:rPr>
          <w:rFonts w:ascii="Times New Roman" w:eastAsia="Batang" w:hAnsi="Times New Roman" w:cs="Times New Roman"/>
          <w:sz w:val="20"/>
          <w:szCs w:val="24"/>
          <w:lang w:val="en-GB"/>
        </w:rPr>
      </w:pPr>
      <w:r w:rsidRPr="002A5169">
        <w:rPr>
          <w:rFonts w:ascii="Times New Roman" w:eastAsia="Batang" w:hAnsi="Times New Roman" w:cs="Times New Roman"/>
          <w:sz w:val="20"/>
          <w:szCs w:val="24"/>
          <w:lang w:val="en-GB"/>
        </w:rPr>
        <w:t xml:space="preserve">When the TA is validated and found to be invalid and the UE has data to send, the UE can obtain a valid TA and may send data via legacy RACH or EDT procedures </w:t>
      </w:r>
    </w:p>
    <w:p w14:paraId="6980F44D" w14:textId="77777777" w:rsidR="000826AA" w:rsidRPr="002A5169" w:rsidRDefault="000826AA" w:rsidP="004C7CC2">
      <w:pPr>
        <w:numPr>
          <w:ilvl w:val="0"/>
          <w:numId w:val="19"/>
        </w:numPr>
        <w:spacing w:after="0" w:line="240" w:lineRule="auto"/>
        <w:ind w:left="1287"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FFS whether only TA is acquired and then data sent on PUR is supported</w:t>
      </w:r>
    </w:p>
    <w:p w14:paraId="3C71A285" w14:textId="665BACBA" w:rsidR="000826AA" w:rsidRDefault="000826AA" w:rsidP="004C7CC2">
      <w:pPr>
        <w:numPr>
          <w:ilvl w:val="0"/>
          <w:numId w:val="19"/>
        </w:numPr>
        <w:spacing w:after="0" w:line="240" w:lineRule="auto"/>
        <w:ind w:left="1287"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FFS other approaches to obtain a valid TA</w:t>
      </w:r>
    </w:p>
    <w:p w14:paraId="65FE478A" w14:textId="77777777" w:rsidR="00882F0A" w:rsidRPr="00882F0A" w:rsidRDefault="00882F0A" w:rsidP="00882F0A">
      <w:pPr>
        <w:spacing w:after="0" w:line="240" w:lineRule="auto"/>
        <w:ind w:left="1287"/>
        <w:rPr>
          <w:rFonts w:ascii="Times New Roman" w:eastAsia="Batang" w:hAnsi="Times New Roman" w:cs="Times New Roman"/>
          <w:sz w:val="20"/>
          <w:szCs w:val="24"/>
          <w:lang w:val="en-GB" w:eastAsia="x-none"/>
        </w:rPr>
      </w:pPr>
    </w:p>
    <w:p w14:paraId="10F0FEC5" w14:textId="524B2EC9" w:rsidR="005A18BB" w:rsidRPr="00E34D3D" w:rsidRDefault="005A18BB" w:rsidP="005A18BB">
      <w:pPr>
        <w:rPr>
          <w:rFonts w:ascii="Arial" w:hAnsi="Arial" w:cs="Arial"/>
        </w:rPr>
      </w:pPr>
      <w:r w:rsidRPr="00E34D3D">
        <w:rPr>
          <w:rFonts w:ascii="Arial" w:hAnsi="Arial" w:cs="Arial"/>
        </w:rPr>
        <w:t xml:space="preserve">We see two possible solutions </w:t>
      </w:r>
      <w:r w:rsidR="00C16D53" w:rsidRPr="00E34D3D">
        <w:rPr>
          <w:rFonts w:ascii="Arial" w:hAnsi="Arial" w:cs="Arial"/>
        </w:rPr>
        <w:t>here</w:t>
      </w:r>
      <w:r w:rsidRPr="00E34D3D">
        <w:rPr>
          <w:rFonts w:ascii="Arial" w:hAnsi="Arial" w:cs="Arial"/>
        </w:rPr>
        <w:t>:</w:t>
      </w:r>
    </w:p>
    <w:p w14:paraId="086A8B1C" w14:textId="53395116" w:rsidR="005A18BB" w:rsidRPr="00DA52A1" w:rsidRDefault="005A18BB" w:rsidP="004C7CC2">
      <w:pPr>
        <w:pStyle w:val="ListParagraph"/>
        <w:numPr>
          <w:ilvl w:val="0"/>
          <w:numId w:val="16"/>
        </w:numPr>
        <w:spacing w:after="120"/>
        <w:ind w:left="714" w:hanging="357"/>
        <w:rPr>
          <w:rFonts w:ascii="Arial" w:hAnsi="Arial" w:cs="Arial"/>
          <w:szCs w:val="20"/>
          <w:lang w:val="en-US"/>
        </w:rPr>
      </w:pPr>
      <w:r w:rsidRPr="00DA52A1">
        <w:rPr>
          <w:rFonts w:ascii="Arial" w:hAnsi="Arial" w:cs="Arial"/>
          <w:szCs w:val="20"/>
          <w:lang w:val="en-US"/>
        </w:rPr>
        <w:t>The PUR configuration is kept and there is signaling to update the TA</w:t>
      </w:r>
      <w:r w:rsidR="00882F0A">
        <w:rPr>
          <w:rFonts w:ascii="Arial" w:hAnsi="Arial" w:cs="Arial"/>
          <w:szCs w:val="20"/>
          <w:lang w:val="en-US"/>
        </w:rPr>
        <w:t xml:space="preserve"> (i.e. the first FFS above)</w:t>
      </w:r>
    </w:p>
    <w:p w14:paraId="7A6765D8" w14:textId="77777777" w:rsidR="005A18BB" w:rsidRPr="00DA52A1" w:rsidRDefault="005A18BB" w:rsidP="004C7CC2">
      <w:pPr>
        <w:pStyle w:val="ListParagraph"/>
        <w:numPr>
          <w:ilvl w:val="0"/>
          <w:numId w:val="16"/>
        </w:numPr>
        <w:spacing w:after="120"/>
        <w:ind w:left="714" w:hanging="357"/>
        <w:rPr>
          <w:rFonts w:ascii="Arial" w:hAnsi="Arial" w:cs="Arial"/>
          <w:szCs w:val="20"/>
          <w:lang w:val="en-US"/>
        </w:rPr>
      </w:pPr>
      <w:r w:rsidRPr="00DA52A1">
        <w:rPr>
          <w:rFonts w:ascii="Arial" w:hAnsi="Arial" w:cs="Arial"/>
          <w:szCs w:val="20"/>
          <w:lang w:val="en-US"/>
        </w:rPr>
        <w:t>The PUR configuration is released and the UE falls back to legacy RRC connection establishment or EDT.</w:t>
      </w:r>
    </w:p>
    <w:p w14:paraId="6BBB03E8" w14:textId="75DDC7AB" w:rsidR="005A18BB" w:rsidRPr="00E34D3D" w:rsidRDefault="005A18BB" w:rsidP="005A18BB">
      <w:pPr>
        <w:rPr>
          <w:rFonts w:ascii="Arial" w:hAnsi="Arial" w:cs="Arial"/>
        </w:rPr>
      </w:pPr>
      <w:r w:rsidRPr="00E34D3D">
        <w:rPr>
          <w:rFonts w:ascii="Arial" w:hAnsi="Arial" w:cs="Arial"/>
        </w:rPr>
        <w:t xml:space="preserve">First, the signaling required in A is essentially Msg1 and Msg2 of the RA-procedure (possibly aborted after Msg2). Second, the TA is inherently connected to the PUR configuration and if it is no </w:t>
      </w:r>
      <w:r w:rsidRPr="00E34D3D">
        <w:rPr>
          <w:rFonts w:ascii="Arial" w:hAnsi="Arial" w:cs="Arial"/>
        </w:rPr>
        <w:lastRenderedPageBreak/>
        <w:t xml:space="preserve">longer valid it should be re-evaluated if the UE should be configured with PUR. </w:t>
      </w:r>
      <w:r w:rsidR="00021FAB" w:rsidRPr="00E34D3D">
        <w:rPr>
          <w:rFonts w:ascii="Arial" w:hAnsi="Arial" w:cs="Arial"/>
        </w:rPr>
        <w:t xml:space="preserve">I.e. </w:t>
      </w:r>
      <w:r w:rsidR="002A755F" w:rsidRPr="00E34D3D">
        <w:rPr>
          <w:rFonts w:ascii="Arial" w:hAnsi="Arial" w:cs="Arial"/>
        </w:rPr>
        <w:t>PUR is intended for stationary UEs, and a changing TA is an indication of a moving UE.</w:t>
      </w:r>
    </w:p>
    <w:p w14:paraId="7D0361BF" w14:textId="377FBBC2" w:rsidR="004C2C2F" w:rsidRPr="00E34D3D" w:rsidRDefault="00B91F58" w:rsidP="00BD0B99">
      <w:pPr>
        <w:pStyle w:val="Proposal"/>
      </w:pPr>
      <w:bookmarkStart w:id="10" w:name="_Toc7752502"/>
      <w:r w:rsidRPr="00E34D3D">
        <w:t>Upon invalidation of TA, the</w:t>
      </w:r>
      <w:r w:rsidR="005A18BB" w:rsidRPr="00E34D3D">
        <w:t xml:space="preserve"> PUR configuration </w:t>
      </w:r>
      <w:r w:rsidR="00FF6B86" w:rsidRPr="00E34D3D">
        <w:t xml:space="preserve">is </w:t>
      </w:r>
      <w:r w:rsidR="005A18BB" w:rsidRPr="00E34D3D">
        <w:t>released and the UE fall</w:t>
      </w:r>
      <w:r w:rsidR="00AE387A" w:rsidRPr="00E34D3D">
        <w:t>s</w:t>
      </w:r>
      <w:r w:rsidR="005A18BB" w:rsidRPr="00E34D3D">
        <w:t xml:space="preserve"> back to legacy </w:t>
      </w:r>
      <w:r w:rsidR="00FC0FC7" w:rsidRPr="00E34D3D">
        <w:t>c</w:t>
      </w:r>
      <w:r w:rsidR="005A18BB" w:rsidRPr="00E34D3D">
        <w:t>onnection procedure</w:t>
      </w:r>
      <w:r w:rsidR="0079012F" w:rsidRPr="00E34D3D">
        <w:t xml:space="preserve"> or EDT</w:t>
      </w:r>
      <w:r w:rsidR="005A18BB" w:rsidRPr="00E34D3D">
        <w:t>.</w:t>
      </w:r>
      <w:bookmarkEnd w:id="10"/>
      <w:r w:rsidR="005A18BB" w:rsidRPr="00E34D3D">
        <w:t xml:space="preserve"> </w:t>
      </w:r>
    </w:p>
    <w:p w14:paraId="53A60259" w14:textId="5CBAD7BE" w:rsidR="00C32AD9" w:rsidRPr="00E34D3D" w:rsidRDefault="00115193" w:rsidP="00986EA9">
      <w:pPr>
        <w:rPr>
          <w:rFonts w:ascii="Arial" w:hAnsi="Arial" w:cs="Arial"/>
        </w:rPr>
      </w:pPr>
      <w:r w:rsidRPr="00E34D3D">
        <w:rPr>
          <w:rFonts w:ascii="Arial" w:hAnsi="Arial" w:cs="Arial"/>
        </w:rPr>
        <w:t xml:space="preserve">That </w:t>
      </w:r>
      <w:r w:rsidR="001F18FB" w:rsidRPr="00E34D3D">
        <w:rPr>
          <w:rFonts w:ascii="Arial" w:hAnsi="Arial" w:cs="Arial"/>
        </w:rPr>
        <w:t xml:space="preserve">TA is not valid anymore and that the PUR configuration is released </w:t>
      </w:r>
      <w:r w:rsidR="00FD1271" w:rsidRPr="00E34D3D">
        <w:rPr>
          <w:rFonts w:ascii="Arial" w:hAnsi="Arial" w:cs="Arial"/>
        </w:rPr>
        <w:t xml:space="preserve">would be </w:t>
      </w:r>
      <w:r w:rsidR="00A97C59" w:rsidRPr="00E34D3D">
        <w:rPr>
          <w:rFonts w:ascii="Arial" w:hAnsi="Arial" w:cs="Arial"/>
        </w:rPr>
        <w:t>known</w:t>
      </w:r>
      <w:r w:rsidR="00FD1271" w:rsidRPr="00E34D3D">
        <w:rPr>
          <w:rFonts w:ascii="Arial" w:hAnsi="Arial" w:cs="Arial"/>
        </w:rPr>
        <w:t xml:space="preserve"> to the UE</w:t>
      </w:r>
      <w:r w:rsidR="00826CFD" w:rsidRPr="00E34D3D">
        <w:rPr>
          <w:rFonts w:ascii="Arial" w:hAnsi="Arial" w:cs="Arial"/>
        </w:rPr>
        <w:t xml:space="preserve">. However, </w:t>
      </w:r>
      <w:r w:rsidR="00FD1271" w:rsidRPr="00E34D3D">
        <w:rPr>
          <w:rFonts w:ascii="Arial" w:hAnsi="Arial" w:cs="Arial"/>
        </w:rPr>
        <w:t>it is an open issue how the eNB should become aware of that the TA evaluation failed</w:t>
      </w:r>
      <w:r w:rsidR="00F53471" w:rsidRPr="00E34D3D">
        <w:rPr>
          <w:rFonts w:ascii="Arial" w:hAnsi="Arial" w:cs="Arial"/>
        </w:rPr>
        <w:t xml:space="preserve">, </w:t>
      </w:r>
      <w:r w:rsidR="00826CFD" w:rsidRPr="00E34D3D">
        <w:rPr>
          <w:rFonts w:ascii="Arial" w:hAnsi="Arial" w:cs="Arial"/>
        </w:rPr>
        <w:t>that</w:t>
      </w:r>
      <w:r w:rsidR="00F53471" w:rsidRPr="00E34D3D">
        <w:rPr>
          <w:rFonts w:ascii="Arial" w:hAnsi="Arial" w:cs="Arial"/>
        </w:rPr>
        <w:t xml:space="preserve"> the UE moved to another cell,</w:t>
      </w:r>
      <w:r w:rsidR="00FD1271" w:rsidRPr="00E34D3D">
        <w:rPr>
          <w:rFonts w:ascii="Arial" w:hAnsi="Arial" w:cs="Arial"/>
        </w:rPr>
        <w:t xml:space="preserve"> </w:t>
      </w:r>
      <w:r w:rsidR="009167E3" w:rsidRPr="00E34D3D">
        <w:rPr>
          <w:rFonts w:ascii="Arial" w:hAnsi="Arial" w:cs="Arial"/>
        </w:rPr>
        <w:t>or</w:t>
      </w:r>
      <w:r w:rsidR="00FD1271" w:rsidRPr="00E34D3D">
        <w:rPr>
          <w:rFonts w:ascii="Arial" w:hAnsi="Arial" w:cs="Arial"/>
        </w:rPr>
        <w:t xml:space="preserve"> that PUR should be released.</w:t>
      </w:r>
      <w:r w:rsidR="00F34B38" w:rsidRPr="00E34D3D">
        <w:rPr>
          <w:rFonts w:ascii="Arial" w:hAnsi="Arial" w:cs="Arial"/>
        </w:rPr>
        <w:t xml:space="preserve"> </w:t>
      </w:r>
      <w:r w:rsidR="009B5892" w:rsidRPr="00E34D3D">
        <w:rPr>
          <w:rFonts w:ascii="Arial" w:hAnsi="Arial" w:cs="Arial"/>
        </w:rPr>
        <w:t xml:space="preserve">The </w:t>
      </w:r>
      <w:r w:rsidR="00724498" w:rsidRPr="00E34D3D">
        <w:rPr>
          <w:rFonts w:ascii="Arial" w:hAnsi="Arial" w:cs="Arial"/>
        </w:rPr>
        <w:t>‘</w:t>
      </w:r>
      <w:r w:rsidR="009B5892" w:rsidRPr="00E34D3D">
        <w:rPr>
          <w:rFonts w:ascii="Arial" w:hAnsi="Arial" w:cs="Arial"/>
        </w:rPr>
        <w:t>implicit</w:t>
      </w:r>
      <w:r w:rsidR="00724498" w:rsidRPr="00E34D3D">
        <w:rPr>
          <w:rFonts w:ascii="Arial" w:hAnsi="Arial" w:cs="Arial"/>
        </w:rPr>
        <w:t xml:space="preserve"> release after </w:t>
      </w:r>
      <w:r w:rsidR="00724498" w:rsidRPr="00E34D3D">
        <w:rPr>
          <w:rFonts w:ascii="Arial" w:hAnsi="Arial" w:cs="Arial"/>
          <w:i/>
          <w:iCs/>
        </w:rPr>
        <w:t>m</w:t>
      </w:r>
      <w:r w:rsidR="00724498" w:rsidRPr="00E34D3D">
        <w:rPr>
          <w:rFonts w:ascii="Arial" w:hAnsi="Arial" w:cs="Arial"/>
        </w:rPr>
        <w:t xml:space="preserve"> omitted PUR transmissions’</w:t>
      </w:r>
      <w:r w:rsidR="009B5892" w:rsidRPr="00E34D3D">
        <w:rPr>
          <w:rFonts w:ascii="Arial" w:hAnsi="Arial" w:cs="Arial"/>
        </w:rPr>
        <w:t xml:space="preserve"> </w:t>
      </w:r>
      <w:r w:rsidR="00724498" w:rsidRPr="00E34D3D">
        <w:rPr>
          <w:rFonts w:ascii="Arial" w:hAnsi="Arial" w:cs="Arial"/>
        </w:rPr>
        <w:t xml:space="preserve">could implicitly </w:t>
      </w:r>
      <w:r w:rsidR="008C2550" w:rsidRPr="00E34D3D">
        <w:rPr>
          <w:rFonts w:ascii="Arial" w:hAnsi="Arial" w:cs="Arial"/>
        </w:rPr>
        <w:t xml:space="preserve">achieve the release on the eNB side, but if not configured or </w:t>
      </w:r>
      <w:r w:rsidR="000237D6" w:rsidRPr="00E34D3D">
        <w:rPr>
          <w:rFonts w:ascii="Arial" w:hAnsi="Arial" w:cs="Arial"/>
        </w:rPr>
        <w:t xml:space="preserve">if </w:t>
      </w:r>
      <w:r w:rsidR="000237D6" w:rsidRPr="00E34D3D">
        <w:rPr>
          <w:rFonts w:ascii="Arial" w:hAnsi="Arial" w:cs="Arial"/>
          <w:i/>
        </w:rPr>
        <w:t xml:space="preserve">m </w:t>
      </w:r>
      <w:r w:rsidR="000237D6" w:rsidRPr="00E34D3D">
        <w:rPr>
          <w:rFonts w:ascii="Arial" w:hAnsi="Arial" w:cs="Arial"/>
        </w:rPr>
        <w:t xml:space="preserve">is </w:t>
      </w:r>
      <w:r w:rsidR="008C2550" w:rsidRPr="00E34D3D">
        <w:rPr>
          <w:rFonts w:ascii="Arial" w:hAnsi="Arial" w:cs="Arial"/>
        </w:rPr>
        <w:t>set to a high value it would ca</w:t>
      </w:r>
      <w:r w:rsidR="00414479" w:rsidRPr="00E34D3D">
        <w:rPr>
          <w:rFonts w:ascii="Arial" w:hAnsi="Arial" w:cs="Arial"/>
        </w:rPr>
        <w:t>u</w:t>
      </w:r>
      <w:r w:rsidR="008C2550" w:rsidRPr="00E34D3D">
        <w:rPr>
          <w:rFonts w:ascii="Arial" w:hAnsi="Arial" w:cs="Arial"/>
        </w:rPr>
        <w:t>se resource waste</w:t>
      </w:r>
      <w:r w:rsidR="000237D6" w:rsidRPr="00E34D3D">
        <w:rPr>
          <w:rFonts w:ascii="Arial" w:hAnsi="Arial" w:cs="Arial"/>
        </w:rPr>
        <w:t xml:space="preserve"> and delay</w:t>
      </w:r>
      <w:r w:rsidR="008C2550" w:rsidRPr="00E34D3D">
        <w:rPr>
          <w:rFonts w:ascii="Arial" w:hAnsi="Arial" w:cs="Arial"/>
        </w:rPr>
        <w:t xml:space="preserve">. </w:t>
      </w:r>
      <w:r w:rsidR="00F34B38" w:rsidRPr="00E34D3D">
        <w:rPr>
          <w:rFonts w:ascii="Arial" w:hAnsi="Arial" w:cs="Arial"/>
        </w:rPr>
        <w:t xml:space="preserve">We </w:t>
      </w:r>
      <w:r w:rsidR="003823B1" w:rsidRPr="00E34D3D">
        <w:rPr>
          <w:rFonts w:ascii="Arial" w:hAnsi="Arial" w:cs="Arial"/>
        </w:rPr>
        <w:t xml:space="preserve">therefore </w:t>
      </w:r>
      <w:r w:rsidR="00F34B38" w:rsidRPr="00E34D3D">
        <w:rPr>
          <w:rFonts w:ascii="Arial" w:hAnsi="Arial" w:cs="Arial"/>
        </w:rPr>
        <w:t xml:space="preserve">propose that the UE </w:t>
      </w:r>
      <w:r w:rsidR="00C50844" w:rsidRPr="00E34D3D">
        <w:rPr>
          <w:rFonts w:ascii="Arial" w:hAnsi="Arial" w:cs="Arial"/>
        </w:rPr>
        <w:t xml:space="preserve">can </w:t>
      </w:r>
      <w:r w:rsidR="000237D6" w:rsidRPr="00E34D3D">
        <w:rPr>
          <w:rFonts w:ascii="Arial" w:hAnsi="Arial" w:cs="Arial"/>
        </w:rPr>
        <w:t xml:space="preserve">additionally </w:t>
      </w:r>
      <w:r w:rsidR="00F34B38" w:rsidRPr="00E34D3D">
        <w:rPr>
          <w:rFonts w:ascii="Arial" w:hAnsi="Arial" w:cs="Arial"/>
        </w:rPr>
        <w:t>include an indication of this in the subsequent connection setup.</w:t>
      </w:r>
      <w:r w:rsidR="005B6BEA" w:rsidRPr="00E34D3D">
        <w:rPr>
          <w:rFonts w:ascii="Arial" w:hAnsi="Arial" w:cs="Arial"/>
        </w:rPr>
        <w:t xml:space="preserve"> The indication would not just be a bit </w:t>
      </w:r>
      <w:r w:rsidR="00307BC1" w:rsidRPr="00E34D3D">
        <w:rPr>
          <w:rFonts w:ascii="Arial" w:hAnsi="Arial" w:cs="Arial"/>
        </w:rPr>
        <w:t>but include more information, e.g. a cause value on whether the TA was invalidated due to CE-level change, serving cell change, or something else.</w:t>
      </w:r>
    </w:p>
    <w:p w14:paraId="7B7C7AE3" w14:textId="0C345144" w:rsidR="00FA1530" w:rsidRPr="00E34D3D" w:rsidRDefault="00232C36" w:rsidP="00FA1530">
      <w:pPr>
        <w:pStyle w:val="Proposal"/>
      </w:pPr>
      <w:bookmarkStart w:id="11" w:name="_Toc7752503"/>
      <w:r w:rsidRPr="00E34D3D">
        <w:t xml:space="preserve">PUR release due to </w:t>
      </w:r>
      <w:r w:rsidR="006B4B76" w:rsidRPr="00E34D3D">
        <w:t>invalidation of</w:t>
      </w:r>
      <w:r w:rsidRPr="00E34D3D">
        <w:t xml:space="preserve"> TA or cell change </w:t>
      </w:r>
      <w:r w:rsidR="00507CB6" w:rsidRPr="00E34D3D">
        <w:t xml:space="preserve">can </w:t>
      </w:r>
      <w:r w:rsidRPr="00E34D3D">
        <w:t xml:space="preserve">be </w:t>
      </w:r>
      <w:r w:rsidR="00664D40" w:rsidRPr="00E34D3D">
        <w:t>in</w:t>
      </w:r>
      <w:r w:rsidR="00F34B38" w:rsidRPr="00E34D3D">
        <w:t>dicate</w:t>
      </w:r>
      <w:r w:rsidRPr="00E34D3D">
        <w:t>d by the UE</w:t>
      </w:r>
      <w:r w:rsidR="00F34B38" w:rsidRPr="00E34D3D">
        <w:t xml:space="preserve"> in</w:t>
      </w:r>
      <w:r w:rsidR="00664D40" w:rsidRPr="00E34D3D">
        <w:t xml:space="preserve"> the subsequent uplink transmission via dedicated RRC signaling.</w:t>
      </w:r>
      <w:bookmarkEnd w:id="11"/>
    </w:p>
    <w:p w14:paraId="0721978E" w14:textId="1EE08EE0" w:rsidR="00C01F33" w:rsidRPr="00CE0424" w:rsidRDefault="00C01F33" w:rsidP="00CE0424">
      <w:pPr>
        <w:pStyle w:val="Heading1"/>
      </w:pPr>
      <w:r w:rsidRPr="00CE0424">
        <w:t>Conclusion</w:t>
      </w:r>
    </w:p>
    <w:p w14:paraId="64C5EB34" w14:textId="77777777" w:rsidR="006E1C82" w:rsidRPr="00E34D3D" w:rsidRDefault="008E065E" w:rsidP="006E1C82">
      <w:pPr>
        <w:pStyle w:val="BodyText"/>
      </w:pPr>
      <w:r w:rsidRPr="00E34D3D">
        <w:t xml:space="preserve">Based on the discussion in </w:t>
      </w:r>
      <w:r w:rsidR="007729A2" w:rsidRPr="00E34D3D">
        <w:t xml:space="preserve">the previous </w:t>
      </w:r>
      <w:r w:rsidRPr="00E34D3D">
        <w:t>section</w:t>
      </w:r>
      <w:r w:rsidR="007729A2" w:rsidRPr="00E34D3D">
        <w:t>s</w:t>
      </w:r>
      <w:r w:rsidRPr="00E34D3D">
        <w:t xml:space="preserve"> we propose the following:</w:t>
      </w:r>
    </w:p>
    <w:bookmarkStart w:id="12" w:name="_GoBack"/>
    <w:bookmarkEnd w:id="12"/>
    <w:p w14:paraId="1B4563E1" w14:textId="50E18ED8" w:rsidR="007E033F"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7752498" w:history="1">
        <w:r w:rsidR="007E033F" w:rsidRPr="009B18B7">
          <w:rPr>
            <w:rStyle w:val="Hyperlink"/>
            <w:noProof/>
            <w:lang w:val="en-GB"/>
          </w:rPr>
          <w:t>Proposal 1</w:t>
        </w:r>
        <w:r w:rsidR="007E033F">
          <w:rPr>
            <w:rFonts w:asciiTheme="minorHAnsi" w:eastAsiaTheme="minorEastAsia" w:hAnsiTheme="minorHAnsi"/>
            <w:b w:val="0"/>
            <w:noProof/>
            <w:lang w:eastAsia="en-US"/>
          </w:rPr>
          <w:tab/>
        </w:r>
        <w:r w:rsidR="007E033F" w:rsidRPr="009B18B7">
          <w:rPr>
            <w:rStyle w:val="Hyperlink"/>
            <w:noProof/>
            <w:lang w:val="en-GB"/>
          </w:rPr>
          <w:t xml:space="preserve">TA is valid in the entire cell if </w:t>
        </w:r>
        <w:r w:rsidR="007E033F" w:rsidRPr="009B18B7">
          <w:rPr>
            <w:rStyle w:val="Hyperlink"/>
            <w:noProof/>
          </w:rPr>
          <w:t>none of the optional TA validation mechanisms are configured by eNB.</w:t>
        </w:r>
      </w:hyperlink>
    </w:p>
    <w:p w14:paraId="501561D7" w14:textId="2AAA7407" w:rsidR="007E033F" w:rsidRDefault="007E033F">
      <w:pPr>
        <w:pStyle w:val="TableofFigures"/>
        <w:tabs>
          <w:tab w:val="right" w:leader="dot" w:pos="9629"/>
        </w:tabs>
        <w:rPr>
          <w:rFonts w:asciiTheme="minorHAnsi" w:eastAsiaTheme="minorEastAsia" w:hAnsiTheme="minorHAnsi"/>
          <w:b w:val="0"/>
          <w:noProof/>
          <w:lang w:eastAsia="en-US"/>
        </w:rPr>
      </w:pPr>
      <w:hyperlink w:anchor="_Toc7752499" w:history="1">
        <w:r w:rsidRPr="009B18B7">
          <w:rPr>
            <w:rStyle w:val="Hyperlink"/>
            <w:noProof/>
          </w:rPr>
          <w:t>Proposal 2</w:t>
        </w:r>
        <w:r>
          <w:rPr>
            <w:rFonts w:asciiTheme="minorHAnsi" w:eastAsiaTheme="minorEastAsia" w:hAnsiTheme="minorHAnsi"/>
            <w:b w:val="0"/>
            <w:noProof/>
            <w:lang w:eastAsia="en-US"/>
          </w:rPr>
          <w:tab/>
        </w:r>
        <w:r w:rsidRPr="009B18B7">
          <w:rPr>
            <w:rStyle w:val="Hyperlink"/>
            <w:noProof/>
          </w:rPr>
          <w:t xml:space="preserve">The PUR Time Alignment Time (RAN1) and number of PUR allocations </w:t>
        </w:r>
        <w:r w:rsidRPr="009B18B7">
          <w:rPr>
            <w:rStyle w:val="Hyperlink"/>
            <w:i/>
            <w:noProof/>
          </w:rPr>
          <w:t>n</w:t>
        </w:r>
        <w:r w:rsidRPr="009B18B7">
          <w:rPr>
            <w:rStyle w:val="Hyperlink"/>
            <w:noProof/>
          </w:rPr>
          <w:t xml:space="preserve"> (RAN2) are addressing the same functionality, RAN2 should discuss how to avoid redundant configuration.</w:t>
        </w:r>
      </w:hyperlink>
    </w:p>
    <w:p w14:paraId="5F574A4C" w14:textId="5F4FCB1B" w:rsidR="007E033F" w:rsidRDefault="007E033F">
      <w:pPr>
        <w:pStyle w:val="TableofFigures"/>
        <w:tabs>
          <w:tab w:val="right" w:leader="dot" w:pos="9629"/>
        </w:tabs>
        <w:rPr>
          <w:rFonts w:asciiTheme="minorHAnsi" w:eastAsiaTheme="minorEastAsia" w:hAnsiTheme="minorHAnsi"/>
          <w:b w:val="0"/>
          <w:noProof/>
          <w:lang w:eastAsia="en-US"/>
        </w:rPr>
      </w:pPr>
      <w:hyperlink w:anchor="_Toc7752500" w:history="1">
        <w:r w:rsidRPr="009B18B7">
          <w:rPr>
            <w:rStyle w:val="Hyperlink"/>
            <w:noProof/>
            <w:lang w:val="en-GB"/>
          </w:rPr>
          <w:t>Proposal 3</w:t>
        </w:r>
        <w:r>
          <w:rPr>
            <w:rFonts w:asciiTheme="minorHAnsi" w:eastAsiaTheme="minorEastAsia" w:hAnsiTheme="minorHAnsi"/>
            <w:b w:val="0"/>
            <w:noProof/>
            <w:lang w:eastAsia="en-US"/>
          </w:rPr>
          <w:tab/>
        </w:r>
        <w:r w:rsidRPr="009B18B7">
          <w:rPr>
            <w:rStyle w:val="Hyperlink"/>
            <w:noProof/>
            <w:lang w:val="en-GB"/>
          </w:rPr>
          <w:t>The TA validation criterion ‘Serving cell RSRP changes‘ is optionally configured via dedicated RRC signalling.</w:t>
        </w:r>
      </w:hyperlink>
    </w:p>
    <w:p w14:paraId="32CA339B" w14:textId="26398110" w:rsidR="007E033F" w:rsidRDefault="007E033F">
      <w:pPr>
        <w:pStyle w:val="TableofFigures"/>
        <w:tabs>
          <w:tab w:val="right" w:leader="dot" w:pos="9629"/>
        </w:tabs>
        <w:rPr>
          <w:rFonts w:asciiTheme="minorHAnsi" w:eastAsiaTheme="minorEastAsia" w:hAnsiTheme="minorHAnsi"/>
          <w:b w:val="0"/>
          <w:noProof/>
          <w:lang w:eastAsia="en-US"/>
        </w:rPr>
      </w:pPr>
      <w:hyperlink w:anchor="_Toc7752501" w:history="1">
        <w:r w:rsidRPr="009B18B7">
          <w:rPr>
            <w:rStyle w:val="Hyperlink"/>
            <w:noProof/>
            <w:lang w:val="en-GB"/>
          </w:rPr>
          <w:t>Proposal 4</w:t>
        </w:r>
        <w:r>
          <w:rPr>
            <w:rFonts w:asciiTheme="minorHAnsi" w:eastAsiaTheme="minorEastAsia" w:hAnsiTheme="minorHAnsi"/>
            <w:b w:val="0"/>
            <w:noProof/>
            <w:lang w:eastAsia="en-US"/>
          </w:rPr>
          <w:tab/>
        </w:r>
        <w:r w:rsidRPr="009B18B7">
          <w:rPr>
            <w:rStyle w:val="Hyperlink"/>
            <w:noProof/>
            <w:lang w:val="en-GB"/>
          </w:rPr>
          <w:t xml:space="preserve">The TA validation criterion ‘Time Alignment Timer for idle mode’ is optionally configured via dedicated RRC signalling (alternatively the value ‘infinity’ is included), or replaced by the </w:t>
        </w:r>
        <w:r w:rsidRPr="009B18B7">
          <w:rPr>
            <w:rStyle w:val="Hyperlink"/>
            <w:noProof/>
          </w:rPr>
          <w:t xml:space="preserve">number of PUR allocations </w:t>
        </w:r>
        <w:r w:rsidRPr="009B18B7">
          <w:rPr>
            <w:rStyle w:val="Hyperlink"/>
            <w:i/>
            <w:noProof/>
          </w:rPr>
          <w:t>n.</w:t>
        </w:r>
      </w:hyperlink>
    </w:p>
    <w:p w14:paraId="122A8DAA" w14:textId="68E30A8C" w:rsidR="007E033F" w:rsidRDefault="007E033F">
      <w:pPr>
        <w:pStyle w:val="TableofFigures"/>
        <w:tabs>
          <w:tab w:val="right" w:leader="dot" w:pos="9629"/>
        </w:tabs>
        <w:rPr>
          <w:rFonts w:asciiTheme="minorHAnsi" w:eastAsiaTheme="minorEastAsia" w:hAnsiTheme="minorHAnsi"/>
          <w:b w:val="0"/>
          <w:noProof/>
          <w:lang w:eastAsia="en-US"/>
        </w:rPr>
      </w:pPr>
      <w:hyperlink w:anchor="_Toc7752502" w:history="1">
        <w:r w:rsidRPr="009B18B7">
          <w:rPr>
            <w:rStyle w:val="Hyperlink"/>
            <w:noProof/>
          </w:rPr>
          <w:t>Proposal 5</w:t>
        </w:r>
        <w:r>
          <w:rPr>
            <w:rFonts w:asciiTheme="minorHAnsi" w:eastAsiaTheme="minorEastAsia" w:hAnsiTheme="minorHAnsi"/>
            <w:b w:val="0"/>
            <w:noProof/>
            <w:lang w:eastAsia="en-US"/>
          </w:rPr>
          <w:tab/>
        </w:r>
        <w:r w:rsidRPr="009B18B7">
          <w:rPr>
            <w:rStyle w:val="Hyperlink"/>
            <w:noProof/>
          </w:rPr>
          <w:t>Upon invalidation of TA, the PUR configuration is released and the UE falls back to legacy connection procedure or EDT.</w:t>
        </w:r>
      </w:hyperlink>
    </w:p>
    <w:p w14:paraId="058969C2" w14:textId="6B633920" w:rsidR="007E033F" w:rsidRDefault="007E033F">
      <w:pPr>
        <w:pStyle w:val="TableofFigures"/>
        <w:tabs>
          <w:tab w:val="right" w:leader="dot" w:pos="9629"/>
        </w:tabs>
        <w:rPr>
          <w:rFonts w:asciiTheme="minorHAnsi" w:eastAsiaTheme="minorEastAsia" w:hAnsiTheme="minorHAnsi"/>
          <w:b w:val="0"/>
          <w:noProof/>
          <w:lang w:eastAsia="en-US"/>
        </w:rPr>
      </w:pPr>
      <w:hyperlink w:anchor="_Toc7752503" w:history="1">
        <w:r w:rsidRPr="009B18B7">
          <w:rPr>
            <w:rStyle w:val="Hyperlink"/>
            <w:noProof/>
          </w:rPr>
          <w:t>Proposal 6</w:t>
        </w:r>
        <w:r>
          <w:rPr>
            <w:rFonts w:asciiTheme="minorHAnsi" w:eastAsiaTheme="minorEastAsia" w:hAnsiTheme="minorHAnsi"/>
            <w:b w:val="0"/>
            <w:noProof/>
            <w:lang w:eastAsia="en-US"/>
          </w:rPr>
          <w:tab/>
        </w:r>
        <w:r w:rsidRPr="009B18B7">
          <w:rPr>
            <w:rStyle w:val="Hyperlink"/>
            <w:noProof/>
          </w:rPr>
          <w:t>PUR release due to invalidation of TA or cell change can be indicated by the UE in the subsequent uplink transmission via dedicated RRC signaling.</w:t>
        </w:r>
      </w:hyperlink>
    </w:p>
    <w:p w14:paraId="158027A0" w14:textId="0B38C0B4" w:rsidR="006E1C82" w:rsidRPr="00CE0424" w:rsidRDefault="006E1C82" w:rsidP="006E1C82">
      <w:pPr>
        <w:pStyle w:val="BodyText"/>
        <w:rPr>
          <w:b/>
          <w:bCs/>
        </w:rPr>
      </w:pPr>
      <w:r>
        <w:rPr>
          <w:b/>
          <w:bCs/>
        </w:rPr>
        <w:fldChar w:fldCharType="end"/>
      </w:r>
    </w:p>
    <w:p w14:paraId="31571737" w14:textId="77777777" w:rsidR="00F507D1" w:rsidRPr="00CE0424" w:rsidRDefault="00F507D1" w:rsidP="00CE0424">
      <w:pPr>
        <w:pStyle w:val="Heading1"/>
      </w:pPr>
      <w:bookmarkStart w:id="13" w:name="_In-sequence_SDU_delivery"/>
      <w:bookmarkEnd w:id="13"/>
      <w:r w:rsidRPr="00CE0424">
        <w:t>References</w:t>
      </w:r>
    </w:p>
    <w:bookmarkStart w:id="14" w:name="_Ref528600737"/>
    <w:bookmarkStart w:id="15" w:name="_Ref1080767"/>
    <w:bookmarkStart w:id="16" w:name="_Ref1079762"/>
    <w:bookmarkStart w:id="17" w:name="_Ref1079735"/>
    <w:bookmarkStart w:id="18" w:name="_Ref521512928"/>
    <w:bookmarkStart w:id="19" w:name="_Ref517702140"/>
    <w:p w14:paraId="42895754" w14:textId="4CA627CB" w:rsidR="00065A14" w:rsidRPr="00065A14" w:rsidRDefault="00065A14" w:rsidP="00065A14">
      <w:pPr>
        <w:pStyle w:val="Reference"/>
        <w:rPr>
          <w:lang w:val="en-CA"/>
        </w:rPr>
      </w:pPr>
      <w:r w:rsidRPr="00065A14">
        <w:rPr>
          <w:rFonts w:eastAsia="Times New Roman"/>
          <w:color w:val="0000FF"/>
          <w:u w:val="single"/>
        </w:rPr>
        <w:fldChar w:fldCharType="begin"/>
      </w:r>
      <w:r w:rsidRPr="00E34D3D">
        <w:rPr>
          <w:rFonts w:eastAsia="Times New Roman"/>
          <w:color w:val="0000FF"/>
          <w:u w:val="single"/>
        </w:rPr>
        <w:instrText xml:space="preserve"> HYPERLINK "http://www.3gpp.org/ftp/tsg_ran/TSG_RAN/TSGR_83/Docs/RP-190770.zip" </w:instrText>
      </w:r>
      <w:r w:rsidRPr="00065A14">
        <w:rPr>
          <w:rFonts w:eastAsia="Times New Roman"/>
          <w:color w:val="0000FF"/>
          <w:u w:val="single"/>
        </w:rPr>
        <w:fldChar w:fldCharType="separate"/>
      </w:r>
      <w:r w:rsidRPr="00E34D3D">
        <w:rPr>
          <w:rStyle w:val="Hyperlink"/>
          <w:rFonts w:eastAsia="Times New Roman"/>
        </w:rPr>
        <w:t>RP-190770</w:t>
      </w:r>
      <w:r w:rsidRPr="00065A14">
        <w:rPr>
          <w:rFonts w:eastAsia="Times New Roman"/>
          <w:color w:val="0000FF"/>
          <w:u w:val="single"/>
        </w:rPr>
        <w:fldChar w:fldCharType="end"/>
      </w:r>
      <w:r w:rsidRPr="00065A14">
        <w:rPr>
          <w:lang w:val="en-CA"/>
        </w:rPr>
        <w:t>, “Revised WID for Additional MTC enhancements for LTE”, Ericsson, RAN#83, Shenzhen, China, March 2019.</w:t>
      </w:r>
    </w:p>
    <w:bookmarkStart w:id="20" w:name="_Ref7736651"/>
    <w:bookmarkEnd w:id="14"/>
    <w:bookmarkEnd w:id="15"/>
    <w:p w14:paraId="29E7F75A" w14:textId="1D5186C4" w:rsidR="00065A14" w:rsidRPr="00065A14" w:rsidRDefault="00065A14" w:rsidP="00065A14">
      <w:pPr>
        <w:pStyle w:val="Reference"/>
        <w:rPr>
          <w:lang w:val="en-CA"/>
        </w:rPr>
      </w:pPr>
      <w:r w:rsidRPr="00065A14">
        <w:rPr>
          <w:rFonts w:eastAsia="Times New Roman"/>
          <w:color w:val="0000FF"/>
          <w:u w:val="single"/>
        </w:rPr>
        <w:fldChar w:fldCharType="begin"/>
      </w:r>
      <w:r w:rsidRPr="00E34D3D">
        <w:rPr>
          <w:rFonts w:eastAsia="Times New Roman"/>
          <w:color w:val="0000FF"/>
          <w:u w:val="single"/>
        </w:rPr>
        <w:instrText xml:space="preserve"> HYPERLINK "http://www.3gpp.org/ftp/tsg_ran/TSG_RAN/TSGR_83/Docs/RP-190757.zip" </w:instrText>
      </w:r>
      <w:r w:rsidRPr="00065A14">
        <w:rPr>
          <w:rFonts w:eastAsia="Times New Roman"/>
          <w:color w:val="0000FF"/>
          <w:u w:val="single"/>
        </w:rPr>
        <w:fldChar w:fldCharType="separate"/>
      </w:r>
      <w:r w:rsidRPr="00E34D3D">
        <w:rPr>
          <w:rStyle w:val="Hyperlink"/>
          <w:rFonts w:eastAsia="Times New Roman"/>
        </w:rPr>
        <w:t>RP-190757</w:t>
      </w:r>
      <w:r w:rsidRPr="00065A14">
        <w:rPr>
          <w:rFonts w:eastAsia="Times New Roman"/>
          <w:color w:val="0000FF"/>
          <w:u w:val="single"/>
        </w:rPr>
        <w:fldChar w:fldCharType="end"/>
      </w:r>
      <w:r w:rsidRPr="00065A14">
        <w:rPr>
          <w:lang w:val="en-CA"/>
        </w:rPr>
        <w:t>, “WID revision: Additional enhancements for NB-IoT”, Huawei, RAN#83, Shenzhen, China, March 2019.</w:t>
      </w:r>
      <w:bookmarkEnd w:id="20"/>
    </w:p>
    <w:p w14:paraId="05E51BF2" w14:textId="5E038412" w:rsidR="00947CC0" w:rsidRPr="00E34D3D" w:rsidRDefault="00053948" w:rsidP="00950D03">
      <w:pPr>
        <w:pStyle w:val="Reference"/>
      </w:pPr>
      <w:bookmarkStart w:id="21" w:name="_Ref524424563"/>
      <w:bookmarkStart w:id="22" w:name="_Ref527969212"/>
      <w:bookmarkEnd w:id="16"/>
      <w:bookmarkEnd w:id="17"/>
      <w:bookmarkEnd w:id="18"/>
      <w:bookmarkEnd w:id="19"/>
      <w:r w:rsidRPr="00E34D3D">
        <w:t>RAN1 Chairman’s Notes, RAN1#94</w:t>
      </w:r>
      <w:r w:rsidR="00E64489" w:rsidRPr="00E34D3D">
        <w:t>bis</w:t>
      </w:r>
      <w:r w:rsidRPr="00E34D3D">
        <w:t xml:space="preserve">, </w:t>
      </w:r>
      <w:r w:rsidR="005868F9" w:rsidRPr="00E34D3D">
        <w:t>Chengdu, China</w:t>
      </w:r>
      <w:r w:rsidRPr="00E34D3D">
        <w:t xml:space="preserve">, </w:t>
      </w:r>
      <w:r w:rsidR="00571743" w:rsidRPr="00E34D3D">
        <w:t>October 8th – 12</w:t>
      </w:r>
      <w:r w:rsidR="00571743" w:rsidRPr="00E34D3D">
        <w:rPr>
          <w:vertAlign w:val="superscript"/>
        </w:rPr>
        <w:t>th</w:t>
      </w:r>
      <w:r w:rsidRPr="00E34D3D">
        <w:t>, 2018</w:t>
      </w:r>
      <w:bookmarkEnd w:id="21"/>
      <w:bookmarkEnd w:id="22"/>
      <w:r w:rsidR="00950D03" w:rsidRPr="00E34D3D">
        <w:t>.</w:t>
      </w:r>
    </w:p>
    <w:p w14:paraId="47EE8540" w14:textId="73C4DBA2" w:rsidR="00553F86" w:rsidRPr="00E34D3D" w:rsidRDefault="00553F86" w:rsidP="00F2126F">
      <w:pPr>
        <w:pStyle w:val="Reference"/>
      </w:pPr>
      <w:bookmarkStart w:id="23" w:name="_Ref530568486"/>
      <w:r w:rsidRPr="00E34D3D">
        <w:t xml:space="preserve">R2-1818633, “RAN2 agreements for Rel-16 additional enhancements for NB-IoT and MTC”, </w:t>
      </w:r>
      <w:r w:rsidR="00F2126F" w:rsidRPr="00E34D3D">
        <w:t>Blackberry, RAN2#104, Spokane, USA, November 2018.</w:t>
      </w:r>
      <w:bookmarkEnd w:id="23"/>
    </w:p>
    <w:p w14:paraId="4F8254E2" w14:textId="77777777" w:rsidR="009365CE" w:rsidRPr="00E34D3D" w:rsidRDefault="009365CE" w:rsidP="00065A14">
      <w:pPr>
        <w:pStyle w:val="Reference"/>
        <w:numPr>
          <w:ilvl w:val="0"/>
          <w:numId w:val="0"/>
        </w:numPr>
        <w:ind w:left="567"/>
      </w:pPr>
    </w:p>
    <w:p w14:paraId="40B96435" w14:textId="77777777" w:rsidR="00151E51" w:rsidRPr="00E34D3D" w:rsidRDefault="00151E51">
      <w:pPr>
        <w:pStyle w:val="Reference"/>
        <w:numPr>
          <w:ilvl w:val="0"/>
          <w:numId w:val="0"/>
        </w:numPr>
        <w:ind w:left="567"/>
      </w:pPr>
    </w:p>
    <w:sectPr w:rsidR="00151E51" w:rsidRPr="00E34D3D" w:rsidSect="00FB4868">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5C028" w14:textId="77777777" w:rsidR="00AE6B5C" w:rsidRDefault="00AE6B5C">
      <w:r>
        <w:separator/>
      </w:r>
    </w:p>
  </w:endnote>
  <w:endnote w:type="continuationSeparator" w:id="0">
    <w:p w14:paraId="0FD9CF0A" w14:textId="77777777" w:rsidR="00AE6B5C" w:rsidRDefault="00AE6B5C">
      <w:r>
        <w:continuationSeparator/>
      </w:r>
    </w:p>
  </w:endnote>
  <w:endnote w:type="continuationNotice" w:id="1">
    <w:p w14:paraId="3A4098C1" w14:textId="77777777" w:rsidR="00AE6B5C" w:rsidRDefault="00AE6B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493BC3" w:rsidRDefault="00493B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107D1" w14:textId="77777777" w:rsidR="00AE6B5C" w:rsidRDefault="00AE6B5C">
      <w:r>
        <w:separator/>
      </w:r>
    </w:p>
  </w:footnote>
  <w:footnote w:type="continuationSeparator" w:id="0">
    <w:p w14:paraId="3204181E" w14:textId="77777777" w:rsidR="00AE6B5C" w:rsidRDefault="00AE6B5C">
      <w:r>
        <w:continuationSeparator/>
      </w:r>
    </w:p>
  </w:footnote>
  <w:footnote w:type="continuationNotice" w:id="1">
    <w:p w14:paraId="344A2D4B" w14:textId="77777777" w:rsidR="00AE6B5C" w:rsidRDefault="00AE6B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493BC3" w:rsidRDefault="00493BC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B774010"/>
    <w:multiLevelType w:val="hybridMultilevel"/>
    <w:tmpl w:val="DF6CAD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E577F0"/>
    <w:multiLevelType w:val="hybridMultilevel"/>
    <w:tmpl w:val="7C5406C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203"/>
        </w:tabs>
        <w:ind w:left="2203"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10"/>
  </w:num>
  <w:num w:numId="5">
    <w:abstractNumId w:val="12"/>
  </w:num>
  <w:num w:numId="6">
    <w:abstractNumId w:val="14"/>
  </w:num>
  <w:num w:numId="7">
    <w:abstractNumId w:val="3"/>
  </w:num>
  <w:num w:numId="8">
    <w:abstractNumId w:val="4"/>
  </w:num>
  <w:num w:numId="9">
    <w:abstractNumId w:val="1"/>
  </w:num>
  <w:num w:numId="10">
    <w:abstractNumId w:val="18"/>
  </w:num>
  <w:num w:numId="11">
    <w:abstractNumId w:val="6"/>
  </w:num>
  <w:num w:numId="12">
    <w:abstractNumId w:val="16"/>
  </w:num>
  <w:num w:numId="13">
    <w:abstractNumId w:val="11"/>
  </w:num>
  <w:num w:numId="14">
    <w:abstractNumId w:val="17"/>
  </w:num>
  <w:num w:numId="15">
    <w:abstractNumId w:val="15"/>
  </w:num>
  <w:num w:numId="16">
    <w:abstractNumId w:val="5"/>
  </w:num>
  <w:num w:numId="17">
    <w:abstractNumId w:val="9"/>
  </w:num>
  <w:num w:numId="18">
    <w:abstractNumId w:val="2"/>
  </w:num>
  <w:num w:numId="19">
    <w:abstractNumId w:val="13"/>
  </w:num>
  <w:num w:numId="2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0D5E"/>
    <w:rsid w:val="00001D6E"/>
    <w:rsid w:val="00002A37"/>
    <w:rsid w:val="0000301C"/>
    <w:rsid w:val="00003022"/>
    <w:rsid w:val="000043BF"/>
    <w:rsid w:val="0000564C"/>
    <w:rsid w:val="000058A4"/>
    <w:rsid w:val="00005B0E"/>
    <w:rsid w:val="00005D00"/>
    <w:rsid w:val="00006446"/>
    <w:rsid w:val="00006896"/>
    <w:rsid w:val="00007CDC"/>
    <w:rsid w:val="00010BC7"/>
    <w:rsid w:val="00011B28"/>
    <w:rsid w:val="00012523"/>
    <w:rsid w:val="00012E72"/>
    <w:rsid w:val="00015D15"/>
    <w:rsid w:val="0001701E"/>
    <w:rsid w:val="000173DE"/>
    <w:rsid w:val="000204AE"/>
    <w:rsid w:val="00020DB1"/>
    <w:rsid w:val="00021554"/>
    <w:rsid w:val="00021FAB"/>
    <w:rsid w:val="000235BB"/>
    <w:rsid w:val="000235D4"/>
    <w:rsid w:val="000237D6"/>
    <w:rsid w:val="0002564D"/>
    <w:rsid w:val="00025ECA"/>
    <w:rsid w:val="0002614C"/>
    <w:rsid w:val="00026917"/>
    <w:rsid w:val="00027825"/>
    <w:rsid w:val="000279DF"/>
    <w:rsid w:val="0003168F"/>
    <w:rsid w:val="0003200E"/>
    <w:rsid w:val="000325B8"/>
    <w:rsid w:val="000347B6"/>
    <w:rsid w:val="00034C15"/>
    <w:rsid w:val="00036BA1"/>
    <w:rsid w:val="00040D4A"/>
    <w:rsid w:val="000422E2"/>
    <w:rsid w:val="000429E1"/>
    <w:rsid w:val="00042F22"/>
    <w:rsid w:val="0004317A"/>
    <w:rsid w:val="00043B2B"/>
    <w:rsid w:val="00044095"/>
    <w:rsid w:val="000444EF"/>
    <w:rsid w:val="00044FDF"/>
    <w:rsid w:val="000462DC"/>
    <w:rsid w:val="00046E78"/>
    <w:rsid w:val="00047088"/>
    <w:rsid w:val="00050D84"/>
    <w:rsid w:val="00050DCC"/>
    <w:rsid w:val="000521C3"/>
    <w:rsid w:val="0005287B"/>
    <w:rsid w:val="00052A07"/>
    <w:rsid w:val="000534E3"/>
    <w:rsid w:val="00053948"/>
    <w:rsid w:val="00054D9A"/>
    <w:rsid w:val="000556C7"/>
    <w:rsid w:val="00055D77"/>
    <w:rsid w:val="0005606A"/>
    <w:rsid w:val="00057117"/>
    <w:rsid w:val="00060D0A"/>
    <w:rsid w:val="00060EA0"/>
    <w:rsid w:val="000616E7"/>
    <w:rsid w:val="00061A53"/>
    <w:rsid w:val="00063F6F"/>
    <w:rsid w:val="0006487E"/>
    <w:rsid w:val="00064A43"/>
    <w:rsid w:val="00065A14"/>
    <w:rsid w:val="00065E1A"/>
    <w:rsid w:val="00070B44"/>
    <w:rsid w:val="000722D8"/>
    <w:rsid w:val="00073787"/>
    <w:rsid w:val="00074955"/>
    <w:rsid w:val="000762BC"/>
    <w:rsid w:val="00076C3D"/>
    <w:rsid w:val="00077167"/>
    <w:rsid w:val="00077BA5"/>
    <w:rsid w:val="00077E5F"/>
    <w:rsid w:val="0008036A"/>
    <w:rsid w:val="00081678"/>
    <w:rsid w:val="00081AE6"/>
    <w:rsid w:val="000826AA"/>
    <w:rsid w:val="0008501C"/>
    <w:rsid w:val="000851F0"/>
    <w:rsid w:val="000855EB"/>
    <w:rsid w:val="00085B52"/>
    <w:rsid w:val="000864AD"/>
    <w:rsid w:val="000866F2"/>
    <w:rsid w:val="0009009F"/>
    <w:rsid w:val="000910D2"/>
    <w:rsid w:val="00091557"/>
    <w:rsid w:val="000918B3"/>
    <w:rsid w:val="000924C1"/>
    <w:rsid w:val="000924F0"/>
    <w:rsid w:val="0009291B"/>
    <w:rsid w:val="00093474"/>
    <w:rsid w:val="0009396C"/>
    <w:rsid w:val="0009510F"/>
    <w:rsid w:val="00095FD4"/>
    <w:rsid w:val="000964C3"/>
    <w:rsid w:val="00096F88"/>
    <w:rsid w:val="000977AD"/>
    <w:rsid w:val="000A0D62"/>
    <w:rsid w:val="000A1787"/>
    <w:rsid w:val="000A1B7B"/>
    <w:rsid w:val="000A37AC"/>
    <w:rsid w:val="000A56F2"/>
    <w:rsid w:val="000A5CDE"/>
    <w:rsid w:val="000A5E18"/>
    <w:rsid w:val="000A6375"/>
    <w:rsid w:val="000A7647"/>
    <w:rsid w:val="000B25A3"/>
    <w:rsid w:val="000B2719"/>
    <w:rsid w:val="000B3A8F"/>
    <w:rsid w:val="000B4AB9"/>
    <w:rsid w:val="000B4BA3"/>
    <w:rsid w:val="000B58C3"/>
    <w:rsid w:val="000B5C63"/>
    <w:rsid w:val="000B61E9"/>
    <w:rsid w:val="000B70C3"/>
    <w:rsid w:val="000C165A"/>
    <w:rsid w:val="000C1EEB"/>
    <w:rsid w:val="000C20B2"/>
    <w:rsid w:val="000C2D6F"/>
    <w:rsid w:val="000C2E19"/>
    <w:rsid w:val="000C38B0"/>
    <w:rsid w:val="000C540F"/>
    <w:rsid w:val="000C667A"/>
    <w:rsid w:val="000D0D07"/>
    <w:rsid w:val="000D125E"/>
    <w:rsid w:val="000D1A74"/>
    <w:rsid w:val="000D4797"/>
    <w:rsid w:val="000D497E"/>
    <w:rsid w:val="000D5AA6"/>
    <w:rsid w:val="000D71CB"/>
    <w:rsid w:val="000E0527"/>
    <w:rsid w:val="000E1E92"/>
    <w:rsid w:val="000E2017"/>
    <w:rsid w:val="000E615F"/>
    <w:rsid w:val="000E63A0"/>
    <w:rsid w:val="000E76B7"/>
    <w:rsid w:val="000F06D6"/>
    <w:rsid w:val="000F0A9D"/>
    <w:rsid w:val="000F0EB1"/>
    <w:rsid w:val="000F1106"/>
    <w:rsid w:val="000F1796"/>
    <w:rsid w:val="000F1882"/>
    <w:rsid w:val="000F213E"/>
    <w:rsid w:val="000F3627"/>
    <w:rsid w:val="000F3BE9"/>
    <w:rsid w:val="000F3F6C"/>
    <w:rsid w:val="000F63D8"/>
    <w:rsid w:val="000F6DF3"/>
    <w:rsid w:val="000F6EB9"/>
    <w:rsid w:val="0010047C"/>
    <w:rsid w:val="001005FF"/>
    <w:rsid w:val="00102614"/>
    <w:rsid w:val="00104545"/>
    <w:rsid w:val="0010529D"/>
    <w:rsid w:val="001062FB"/>
    <w:rsid w:val="001063E6"/>
    <w:rsid w:val="00106B07"/>
    <w:rsid w:val="001070CF"/>
    <w:rsid w:val="00110C32"/>
    <w:rsid w:val="001127EB"/>
    <w:rsid w:val="00112896"/>
    <w:rsid w:val="00112A22"/>
    <w:rsid w:val="00113727"/>
    <w:rsid w:val="00113CF4"/>
    <w:rsid w:val="00114318"/>
    <w:rsid w:val="00114559"/>
    <w:rsid w:val="00115193"/>
    <w:rsid w:val="001153EA"/>
    <w:rsid w:val="00115455"/>
    <w:rsid w:val="00115643"/>
    <w:rsid w:val="00116765"/>
    <w:rsid w:val="00116A6C"/>
    <w:rsid w:val="001174FC"/>
    <w:rsid w:val="0012001F"/>
    <w:rsid w:val="001219F5"/>
    <w:rsid w:val="00121A20"/>
    <w:rsid w:val="00122212"/>
    <w:rsid w:val="0012377F"/>
    <w:rsid w:val="00124314"/>
    <w:rsid w:val="00124DE5"/>
    <w:rsid w:val="00125BE3"/>
    <w:rsid w:val="00126380"/>
    <w:rsid w:val="001266ED"/>
    <w:rsid w:val="00126B4A"/>
    <w:rsid w:val="001302D0"/>
    <w:rsid w:val="00130AE4"/>
    <w:rsid w:val="00130B34"/>
    <w:rsid w:val="00131E99"/>
    <w:rsid w:val="00132FD0"/>
    <w:rsid w:val="001333DC"/>
    <w:rsid w:val="001344C0"/>
    <w:rsid w:val="001346FA"/>
    <w:rsid w:val="00135252"/>
    <w:rsid w:val="001352E4"/>
    <w:rsid w:val="00137063"/>
    <w:rsid w:val="001376AC"/>
    <w:rsid w:val="00137AB5"/>
    <w:rsid w:val="00137F0B"/>
    <w:rsid w:val="00142529"/>
    <w:rsid w:val="001438EF"/>
    <w:rsid w:val="00143DB2"/>
    <w:rsid w:val="001457E5"/>
    <w:rsid w:val="00145C3A"/>
    <w:rsid w:val="00146024"/>
    <w:rsid w:val="0015128B"/>
    <w:rsid w:val="001513D2"/>
    <w:rsid w:val="00151E23"/>
    <w:rsid w:val="00151E51"/>
    <w:rsid w:val="001526E0"/>
    <w:rsid w:val="001551B5"/>
    <w:rsid w:val="001558F7"/>
    <w:rsid w:val="001565C8"/>
    <w:rsid w:val="0015771F"/>
    <w:rsid w:val="00160A6B"/>
    <w:rsid w:val="00161983"/>
    <w:rsid w:val="001659C1"/>
    <w:rsid w:val="00166642"/>
    <w:rsid w:val="0017024F"/>
    <w:rsid w:val="001702A6"/>
    <w:rsid w:val="001708EA"/>
    <w:rsid w:val="00172B4A"/>
    <w:rsid w:val="00173A8E"/>
    <w:rsid w:val="00174020"/>
    <w:rsid w:val="00174922"/>
    <w:rsid w:val="0017502C"/>
    <w:rsid w:val="00176FC1"/>
    <w:rsid w:val="0018143F"/>
    <w:rsid w:val="001817F1"/>
    <w:rsid w:val="001817F8"/>
    <w:rsid w:val="00181FF8"/>
    <w:rsid w:val="00182985"/>
    <w:rsid w:val="001837DD"/>
    <w:rsid w:val="00184C46"/>
    <w:rsid w:val="00190AC1"/>
    <w:rsid w:val="00191CA2"/>
    <w:rsid w:val="0019341A"/>
    <w:rsid w:val="0019392E"/>
    <w:rsid w:val="00193AA0"/>
    <w:rsid w:val="0019554B"/>
    <w:rsid w:val="00195916"/>
    <w:rsid w:val="00197DF9"/>
    <w:rsid w:val="001A1987"/>
    <w:rsid w:val="001A2564"/>
    <w:rsid w:val="001A6173"/>
    <w:rsid w:val="001A6CBA"/>
    <w:rsid w:val="001B0D97"/>
    <w:rsid w:val="001B1F32"/>
    <w:rsid w:val="001B2219"/>
    <w:rsid w:val="001B4A3A"/>
    <w:rsid w:val="001B5A5D"/>
    <w:rsid w:val="001B62F2"/>
    <w:rsid w:val="001B7057"/>
    <w:rsid w:val="001B750C"/>
    <w:rsid w:val="001B7B47"/>
    <w:rsid w:val="001C0CC3"/>
    <w:rsid w:val="001C1CE5"/>
    <w:rsid w:val="001C29F8"/>
    <w:rsid w:val="001C2F0C"/>
    <w:rsid w:val="001C3D2A"/>
    <w:rsid w:val="001C401B"/>
    <w:rsid w:val="001C40FC"/>
    <w:rsid w:val="001C41D1"/>
    <w:rsid w:val="001C50F1"/>
    <w:rsid w:val="001D03EA"/>
    <w:rsid w:val="001D04DF"/>
    <w:rsid w:val="001D17CC"/>
    <w:rsid w:val="001D3005"/>
    <w:rsid w:val="001D3480"/>
    <w:rsid w:val="001D4E4A"/>
    <w:rsid w:val="001D51BA"/>
    <w:rsid w:val="001D53E7"/>
    <w:rsid w:val="001D5842"/>
    <w:rsid w:val="001D6342"/>
    <w:rsid w:val="001D6606"/>
    <w:rsid w:val="001D6D53"/>
    <w:rsid w:val="001E01B3"/>
    <w:rsid w:val="001E1B53"/>
    <w:rsid w:val="001E1FA2"/>
    <w:rsid w:val="001E56E5"/>
    <w:rsid w:val="001E58E2"/>
    <w:rsid w:val="001E681A"/>
    <w:rsid w:val="001E6E3C"/>
    <w:rsid w:val="001E7AED"/>
    <w:rsid w:val="001F18FB"/>
    <w:rsid w:val="001F1F31"/>
    <w:rsid w:val="001F3916"/>
    <w:rsid w:val="001F54C5"/>
    <w:rsid w:val="001F662C"/>
    <w:rsid w:val="001F7074"/>
    <w:rsid w:val="001F7917"/>
    <w:rsid w:val="001F7A6F"/>
    <w:rsid w:val="00200490"/>
    <w:rsid w:val="00200E9B"/>
    <w:rsid w:val="0020195D"/>
    <w:rsid w:val="00201F3A"/>
    <w:rsid w:val="00203312"/>
    <w:rsid w:val="00203511"/>
    <w:rsid w:val="00203F96"/>
    <w:rsid w:val="002045D0"/>
    <w:rsid w:val="0020601A"/>
    <w:rsid w:val="0020677A"/>
    <w:rsid w:val="002069B2"/>
    <w:rsid w:val="00206A63"/>
    <w:rsid w:val="00206B9B"/>
    <w:rsid w:val="00207DFC"/>
    <w:rsid w:val="00207FA3"/>
    <w:rsid w:val="00211ACA"/>
    <w:rsid w:val="00211B7B"/>
    <w:rsid w:val="00213C15"/>
    <w:rsid w:val="0021404D"/>
    <w:rsid w:val="00214DA8"/>
    <w:rsid w:val="00215423"/>
    <w:rsid w:val="002154B9"/>
    <w:rsid w:val="002158FA"/>
    <w:rsid w:val="00216357"/>
    <w:rsid w:val="002173F9"/>
    <w:rsid w:val="00220600"/>
    <w:rsid w:val="00221A3D"/>
    <w:rsid w:val="00221A6C"/>
    <w:rsid w:val="00221D68"/>
    <w:rsid w:val="002224DB"/>
    <w:rsid w:val="00223FCB"/>
    <w:rsid w:val="00224D08"/>
    <w:rsid w:val="002252C3"/>
    <w:rsid w:val="00225C54"/>
    <w:rsid w:val="00230460"/>
    <w:rsid w:val="00230765"/>
    <w:rsid w:val="00230A1A"/>
    <w:rsid w:val="00230D18"/>
    <w:rsid w:val="00230DD4"/>
    <w:rsid w:val="00231666"/>
    <w:rsid w:val="002319E4"/>
    <w:rsid w:val="00232ACE"/>
    <w:rsid w:val="00232C36"/>
    <w:rsid w:val="0023325B"/>
    <w:rsid w:val="00235632"/>
    <w:rsid w:val="00235872"/>
    <w:rsid w:val="00235913"/>
    <w:rsid w:val="00237F48"/>
    <w:rsid w:val="00241559"/>
    <w:rsid w:val="00243332"/>
    <w:rsid w:val="002435B3"/>
    <w:rsid w:val="002458EB"/>
    <w:rsid w:val="0024760C"/>
    <w:rsid w:val="002500C8"/>
    <w:rsid w:val="0025039F"/>
    <w:rsid w:val="00253032"/>
    <w:rsid w:val="00253701"/>
    <w:rsid w:val="00254DA1"/>
    <w:rsid w:val="0025619F"/>
    <w:rsid w:val="00257543"/>
    <w:rsid w:val="00257CBC"/>
    <w:rsid w:val="002617E7"/>
    <w:rsid w:val="002619ED"/>
    <w:rsid w:val="002621E2"/>
    <w:rsid w:val="00262CBC"/>
    <w:rsid w:val="00264228"/>
    <w:rsid w:val="00264334"/>
    <w:rsid w:val="0026473E"/>
    <w:rsid w:val="00265E4D"/>
    <w:rsid w:val="00266214"/>
    <w:rsid w:val="00266D37"/>
    <w:rsid w:val="00267C83"/>
    <w:rsid w:val="00267E1D"/>
    <w:rsid w:val="00270114"/>
    <w:rsid w:val="0027144F"/>
    <w:rsid w:val="00271813"/>
    <w:rsid w:val="00271F3A"/>
    <w:rsid w:val="00273239"/>
    <w:rsid w:val="00273278"/>
    <w:rsid w:val="002737F4"/>
    <w:rsid w:val="002743F2"/>
    <w:rsid w:val="002755BB"/>
    <w:rsid w:val="002805F5"/>
    <w:rsid w:val="00280751"/>
    <w:rsid w:val="0028280A"/>
    <w:rsid w:val="002833D1"/>
    <w:rsid w:val="00284CA2"/>
    <w:rsid w:val="00286907"/>
    <w:rsid w:val="00286ACD"/>
    <w:rsid w:val="00287838"/>
    <w:rsid w:val="002907B5"/>
    <w:rsid w:val="00290D3B"/>
    <w:rsid w:val="00291AC7"/>
    <w:rsid w:val="00292734"/>
    <w:rsid w:val="00292EB7"/>
    <w:rsid w:val="0029509F"/>
    <w:rsid w:val="00296227"/>
    <w:rsid w:val="00296F44"/>
    <w:rsid w:val="0029777D"/>
    <w:rsid w:val="002A055E"/>
    <w:rsid w:val="002A12ED"/>
    <w:rsid w:val="002A1D4E"/>
    <w:rsid w:val="002A2869"/>
    <w:rsid w:val="002A2EAF"/>
    <w:rsid w:val="002A2F40"/>
    <w:rsid w:val="002A2FBA"/>
    <w:rsid w:val="002A65B4"/>
    <w:rsid w:val="002A755F"/>
    <w:rsid w:val="002B161B"/>
    <w:rsid w:val="002B2451"/>
    <w:rsid w:val="002B24D6"/>
    <w:rsid w:val="002B3C72"/>
    <w:rsid w:val="002B3E87"/>
    <w:rsid w:val="002B6242"/>
    <w:rsid w:val="002C269E"/>
    <w:rsid w:val="002C41E6"/>
    <w:rsid w:val="002C575A"/>
    <w:rsid w:val="002C5994"/>
    <w:rsid w:val="002C6766"/>
    <w:rsid w:val="002D071A"/>
    <w:rsid w:val="002D2281"/>
    <w:rsid w:val="002D2C07"/>
    <w:rsid w:val="002D34B2"/>
    <w:rsid w:val="002D3827"/>
    <w:rsid w:val="002D48B0"/>
    <w:rsid w:val="002D51B7"/>
    <w:rsid w:val="002D5B37"/>
    <w:rsid w:val="002D5D52"/>
    <w:rsid w:val="002D7637"/>
    <w:rsid w:val="002D7683"/>
    <w:rsid w:val="002E17F2"/>
    <w:rsid w:val="002E2710"/>
    <w:rsid w:val="002E3C63"/>
    <w:rsid w:val="002E3E0D"/>
    <w:rsid w:val="002E4F03"/>
    <w:rsid w:val="002E7CAE"/>
    <w:rsid w:val="002F0F63"/>
    <w:rsid w:val="002F2771"/>
    <w:rsid w:val="002F37A9"/>
    <w:rsid w:val="002F3861"/>
    <w:rsid w:val="002F38B2"/>
    <w:rsid w:val="002F457F"/>
    <w:rsid w:val="002F471C"/>
    <w:rsid w:val="002F4FD2"/>
    <w:rsid w:val="002F6446"/>
    <w:rsid w:val="002F7300"/>
    <w:rsid w:val="002F7BB1"/>
    <w:rsid w:val="003008EC"/>
    <w:rsid w:val="00301CE6"/>
    <w:rsid w:val="0030256B"/>
    <w:rsid w:val="00302938"/>
    <w:rsid w:val="0030501F"/>
    <w:rsid w:val="003059A2"/>
    <w:rsid w:val="0030601D"/>
    <w:rsid w:val="00307BA1"/>
    <w:rsid w:val="00307BC1"/>
    <w:rsid w:val="00307D3F"/>
    <w:rsid w:val="003111CA"/>
    <w:rsid w:val="00311702"/>
    <w:rsid w:val="00311E82"/>
    <w:rsid w:val="00312DBB"/>
    <w:rsid w:val="00313FD6"/>
    <w:rsid w:val="003143BD"/>
    <w:rsid w:val="00315363"/>
    <w:rsid w:val="00317A44"/>
    <w:rsid w:val="003203ED"/>
    <w:rsid w:val="00320874"/>
    <w:rsid w:val="00322BDA"/>
    <w:rsid w:val="00322C9F"/>
    <w:rsid w:val="00324D23"/>
    <w:rsid w:val="00324D75"/>
    <w:rsid w:val="00331751"/>
    <w:rsid w:val="00332220"/>
    <w:rsid w:val="0033308C"/>
    <w:rsid w:val="00334579"/>
    <w:rsid w:val="00335858"/>
    <w:rsid w:val="00336BDA"/>
    <w:rsid w:val="00337808"/>
    <w:rsid w:val="00340128"/>
    <w:rsid w:val="003403FC"/>
    <w:rsid w:val="003405A6"/>
    <w:rsid w:val="00342561"/>
    <w:rsid w:val="00342BD7"/>
    <w:rsid w:val="0034430D"/>
    <w:rsid w:val="00345E05"/>
    <w:rsid w:val="00346D88"/>
    <w:rsid w:val="00346DB5"/>
    <w:rsid w:val="003477B1"/>
    <w:rsid w:val="003477E2"/>
    <w:rsid w:val="00350101"/>
    <w:rsid w:val="00350292"/>
    <w:rsid w:val="00352641"/>
    <w:rsid w:val="00352706"/>
    <w:rsid w:val="003544D0"/>
    <w:rsid w:val="00355F57"/>
    <w:rsid w:val="00357380"/>
    <w:rsid w:val="00357E21"/>
    <w:rsid w:val="003602D9"/>
    <w:rsid w:val="003604CE"/>
    <w:rsid w:val="00362D58"/>
    <w:rsid w:val="00363896"/>
    <w:rsid w:val="00365943"/>
    <w:rsid w:val="0037038C"/>
    <w:rsid w:val="00370E47"/>
    <w:rsid w:val="00373ABC"/>
    <w:rsid w:val="003742AC"/>
    <w:rsid w:val="003744D3"/>
    <w:rsid w:val="00377CE1"/>
    <w:rsid w:val="00380047"/>
    <w:rsid w:val="003806E4"/>
    <w:rsid w:val="003823B1"/>
    <w:rsid w:val="00385BF0"/>
    <w:rsid w:val="00385E1C"/>
    <w:rsid w:val="00387167"/>
    <w:rsid w:val="00387561"/>
    <w:rsid w:val="00387CF1"/>
    <w:rsid w:val="003924B2"/>
    <w:rsid w:val="00392A7A"/>
    <w:rsid w:val="003939FF"/>
    <w:rsid w:val="003960E1"/>
    <w:rsid w:val="00397FF7"/>
    <w:rsid w:val="003A09D2"/>
    <w:rsid w:val="003A09EF"/>
    <w:rsid w:val="003A123B"/>
    <w:rsid w:val="003A2223"/>
    <w:rsid w:val="003A297F"/>
    <w:rsid w:val="003A2A0F"/>
    <w:rsid w:val="003A45A1"/>
    <w:rsid w:val="003A4C4B"/>
    <w:rsid w:val="003A5B0A"/>
    <w:rsid w:val="003A6BAC"/>
    <w:rsid w:val="003A70A4"/>
    <w:rsid w:val="003A7EF3"/>
    <w:rsid w:val="003B159C"/>
    <w:rsid w:val="003B1F58"/>
    <w:rsid w:val="003B369F"/>
    <w:rsid w:val="003B36A3"/>
    <w:rsid w:val="003B423D"/>
    <w:rsid w:val="003B469D"/>
    <w:rsid w:val="003B64BB"/>
    <w:rsid w:val="003B6C49"/>
    <w:rsid w:val="003B6CE9"/>
    <w:rsid w:val="003B7ED0"/>
    <w:rsid w:val="003B7FE5"/>
    <w:rsid w:val="003C11C8"/>
    <w:rsid w:val="003C16D5"/>
    <w:rsid w:val="003C2702"/>
    <w:rsid w:val="003C27EA"/>
    <w:rsid w:val="003C3956"/>
    <w:rsid w:val="003C3EAB"/>
    <w:rsid w:val="003C5C06"/>
    <w:rsid w:val="003C69AD"/>
    <w:rsid w:val="003C6BE3"/>
    <w:rsid w:val="003C7806"/>
    <w:rsid w:val="003D0B4F"/>
    <w:rsid w:val="003D0EF1"/>
    <w:rsid w:val="003D109F"/>
    <w:rsid w:val="003D11FC"/>
    <w:rsid w:val="003D1DF3"/>
    <w:rsid w:val="003D2478"/>
    <w:rsid w:val="003D3C45"/>
    <w:rsid w:val="003D40CA"/>
    <w:rsid w:val="003D55FD"/>
    <w:rsid w:val="003D5B1F"/>
    <w:rsid w:val="003D76F3"/>
    <w:rsid w:val="003E15FA"/>
    <w:rsid w:val="003E2833"/>
    <w:rsid w:val="003E3D58"/>
    <w:rsid w:val="003E43F0"/>
    <w:rsid w:val="003E55E4"/>
    <w:rsid w:val="003E74E3"/>
    <w:rsid w:val="003F005F"/>
    <w:rsid w:val="003F05C7"/>
    <w:rsid w:val="003F077A"/>
    <w:rsid w:val="003F0C22"/>
    <w:rsid w:val="003F2CD4"/>
    <w:rsid w:val="003F2F9B"/>
    <w:rsid w:val="003F4442"/>
    <w:rsid w:val="003F6BBE"/>
    <w:rsid w:val="004000E8"/>
    <w:rsid w:val="00401194"/>
    <w:rsid w:val="00402158"/>
    <w:rsid w:val="0040297E"/>
    <w:rsid w:val="00402E2B"/>
    <w:rsid w:val="0040512B"/>
    <w:rsid w:val="004052D7"/>
    <w:rsid w:val="00405CA5"/>
    <w:rsid w:val="004065E1"/>
    <w:rsid w:val="00407CD3"/>
    <w:rsid w:val="00407E93"/>
    <w:rsid w:val="00410134"/>
    <w:rsid w:val="00410B72"/>
    <w:rsid w:val="00410F18"/>
    <w:rsid w:val="00411BFF"/>
    <w:rsid w:val="0041263E"/>
    <w:rsid w:val="00413AAC"/>
    <w:rsid w:val="00413E92"/>
    <w:rsid w:val="00414479"/>
    <w:rsid w:val="00414BA3"/>
    <w:rsid w:val="00421105"/>
    <w:rsid w:val="00422AA4"/>
    <w:rsid w:val="004231BF"/>
    <w:rsid w:val="00423D7D"/>
    <w:rsid w:val="004242F4"/>
    <w:rsid w:val="00425595"/>
    <w:rsid w:val="00426674"/>
    <w:rsid w:val="00427248"/>
    <w:rsid w:val="00434C5F"/>
    <w:rsid w:val="004366FB"/>
    <w:rsid w:val="00436A57"/>
    <w:rsid w:val="00437447"/>
    <w:rsid w:val="004407CF"/>
    <w:rsid w:val="00441A92"/>
    <w:rsid w:val="0044241E"/>
    <w:rsid w:val="00442500"/>
    <w:rsid w:val="004431DC"/>
    <w:rsid w:val="00444F56"/>
    <w:rsid w:val="00445371"/>
    <w:rsid w:val="00446488"/>
    <w:rsid w:val="004517AA"/>
    <w:rsid w:val="00451B0A"/>
    <w:rsid w:val="0045291C"/>
    <w:rsid w:val="00452CAC"/>
    <w:rsid w:val="00453FD5"/>
    <w:rsid w:val="00454835"/>
    <w:rsid w:val="00456A48"/>
    <w:rsid w:val="00457565"/>
    <w:rsid w:val="004579F6"/>
    <w:rsid w:val="00457B71"/>
    <w:rsid w:val="00465050"/>
    <w:rsid w:val="00465BA7"/>
    <w:rsid w:val="004669E2"/>
    <w:rsid w:val="0046775E"/>
    <w:rsid w:val="0047005C"/>
    <w:rsid w:val="004705C1"/>
    <w:rsid w:val="00470886"/>
    <w:rsid w:val="00470A46"/>
    <w:rsid w:val="00470C31"/>
    <w:rsid w:val="0047195C"/>
    <w:rsid w:val="00471DE0"/>
    <w:rsid w:val="00472609"/>
    <w:rsid w:val="004734D0"/>
    <w:rsid w:val="0047556B"/>
    <w:rsid w:val="00477768"/>
    <w:rsid w:val="004829EC"/>
    <w:rsid w:val="004831BD"/>
    <w:rsid w:val="004846EE"/>
    <w:rsid w:val="00492103"/>
    <w:rsid w:val="00492BC5"/>
    <w:rsid w:val="004930B2"/>
    <w:rsid w:val="004936CC"/>
    <w:rsid w:val="00493BC3"/>
    <w:rsid w:val="00493D82"/>
    <w:rsid w:val="00494DB2"/>
    <w:rsid w:val="00495ADC"/>
    <w:rsid w:val="004964F1"/>
    <w:rsid w:val="004970F1"/>
    <w:rsid w:val="004A16BC"/>
    <w:rsid w:val="004A2215"/>
    <w:rsid w:val="004A2B94"/>
    <w:rsid w:val="004A5122"/>
    <w:rsid w:val="004A693C"/>
    <w:rsid w:val="004A78D1"/>
    <w:rsid w:val="004B15C2"/>
    <w:rsid w:val="004B30B0"/>
    <w:rsid w:val="004B39DC"/>
    <w:rsid w:val="004B42A6"/>
    <w:rsid w:val="004B441C"/>
    <w:rsid w:val="004B451B"/>
    <w:rsid w:val="004B6F6A"/>
    <w:rsid w:val="004B7C0C"/>
    <w:rsid w:val="004C1202"/>
    <w:rsid w:val="004C2C2F"/>
    <w:rsid w:val="004C3898"/>
    <w:rsid w:val="004C76BD"/>
    <w:rsid w:val="004C7CC2"/>
    <w:rsid w:val="004D0394"/>
    <w:rsid w:val="004D08F2"/>
    <w:rsid w:val="004D0E5E"/>
    <w:rsid w:val="004D0E6A"/>
    <w:rsid w:val="004D327F"/>
    <w:rsid w:val="004D36B1"/>
    <w:rsid w:val="004D41CE"/>
    <w:rsid w:val="004D4225"/>
    <w:rsid w:val="004D6A94"/>
    <w:rsid w:val="004D6E3C"/>
    <w:rsid w:val="004D74FF"/>
    <w:rsid w:val="004D7EBD"/>
    <w:rsid w:val="004E2680"/>
    <w:rsid w:val="004E28F9"/>
    <w:rsid w:val="004E462E"/>
    <w:rsid w:val="004E56DC"/>
    <w:rsid w:val="004E577F"/>
    <w:rsid w:val="004E5E2D"/>
    <w:rsid w:val="004E7155"/>
    <w:rsid w:val="004E76F4"/>
    <w:rsid w:val="004E7D85"/>
    <w:rsid w:val="004F0B4E"/>
    <w:rsid w:val="004F0B6C"/>
    <w:rsid w:val="004F2078"/>
    <w:rsid w:val="004F2764"/>
    <w:rsid w:val="004F2CA1"/>
    <w:rsid w:val="004F3289"/>
    <w:rsid w:val="004F3C5C"/>
    <w:rsid w:val="004F3D26"/>
    <w:rsid w:val="004F4DA3"/>
    <w:rsid w:val="004F51F2"/>
    <w:rsid w:val="004F5584"/>
    <w:rsid w:val="004F58BE"/>
    <w:rsid w:val="004F74F5"/>
    <w:rsid w:val="00501495"/>
    <w:rsid w:val="00506557"/>
    <w:rsid w:val="0050677A"/>
    <w:rsid w:val="00507CB6"/>
    <w:rsid w:val="005108D8"/>
    <w:rsid w:val="00510DB5"/>
    <w:rsid w:val="005116F9"/>
    <w:rsid w:val="005127E7"/>
    <w:rsid w:val="00514138"/>
    <w:rsid w:val="00514A4B"/>
    <w:rsid w:val="005153A7"/>
    <w:rsid w:val="0051543B"/>
    <w:rsid w:val="00515519"/>
    <w:rsid w:val="005160DE"/>
    <w:rsid w:val="00516BB7"/>
    <w:rsid w:val="005211C7"/>
    <w:rsid w:val="005219CF"/>
    <w:rsid w:val="00523520"/>
    <w:rsid w:val="00532682"/>
    <w:rsid w:val="00532776"/>
    <w:rsid w:val="00534B59"/>
    <w:rsid w:val="00536759"/>
    <w:rsid w:val="005367EC"/>
    <w:rsid w:val="00536C74"/>
    <w:rsid w:val="00537C62"/>
    <w:rsid w:val="00537E02"/>
    <w:rsid w:val="005412AA"/>
    <w:rsid w:val="00541421"/>
    <w:rsid w:val="00541677"/>
    <w:rsid w:val="00541A04"/>
    <w:rsid w:val="00542D08"/>
    <w:rsid w:val="00543697"/>
    <w:rsid w:val="005436E6"/>
    <w:rsid w:val="00544AA2"/>
    <w:rsid w:val="00546970"/>
    <w:rsid w:val="00547215"/>
    <w:rsid w:val="00551FCC"/>
    <w:rsid w:val="00553F86"/>
    <w:rsid w:val="005542A8"/>
    <w:rsid w:val="00554E19"/>
    <w:rsid w:val="00555391"/>
    <w:rsid w:val="0056121F"/>
    <w:rsid w:val="00561651"/>
    <w:rsid w:val="0056256E"/>
    <w:rsid w:val="0056272C"/>
    <w:rsid w:val="00563A76"/>
    <w:rsid w:val="00564B15"/>
    <w:rsid w:val="00564D20"/>
    <w:rsid w:val="005662DE"/>
    <w:rsid w:val="00567F7D"/>
    <w:rsid w:val="005715D7"/>
    <w:rsid w:val="00571743"/>
    <w:rsid w:val="00572505"/>
    <w:rsid w:val="005734DD"/>
    <w:rsid w:val="00573D5E"/>
    <w:rsid w:val="005747A1"/>
    <w:rsid w:val="00582809"/>
    <w:rsid w:val="00582C5D"/>
    <w:rsid w:val="0058335D"/>
    <w:rsid w:val="0058453F"/>
    <w:rsid w:val="00584D98"/>
    <w:rsid w:val="00585B12"/>
    <w:rsid w:val="005868F9"/>
    <w:rsid w:val="005873B5"/>
    <w:rsid w:val="0058798C"/>
    <w:rsid w:val="005900FA"/>
    <w:rsid w:val="005928CF"/>
    <w:rsid w:val="00592A95"/>
    <w:rsid w:val="0059333B"/>
    <w:rsid w:val="005935A4"/>
    <w:rsid w:val="005939BB"/>
    <w:rsid w:val="005948C2"/>
    <w:rsid w:val="00595DCA"/>
    <w:rsid w:val="005967AB"/>
    <w:rsid w:val="0059779B"/>
    <w:rsid w:val="005A0056"/>
    <w:rsid w:val="005A18BB"/>
    <w:rsid w:val="005A209A"/>
    <w:rsid w:val="005A2D8B"/>
    <w:rsid w:val="005A5312"/>
    <w:rsid w:val="005A662D"/>
    <w:rsid w:val="005B1409"/>
    <w:rsid w:val="005B1BEB"/>
    <w:rsid w:val="005B30D0"/>
    <w:rsid w:val="005B337A"/>
    <w:rsid w:val="005B35D7"/>
    <w:rsid w:val="005B392A"/>
    <w:rsid w:val="005B3AA3"/>
    <w:rsid w:val="005B5F8D"/>
    <w:rsid w:val="005B6B80"/>
    <w:rsid w:val="005B6BEA"/>
    <w:rsid w:val="005B6E86"/>
    <w:rsid w:val="005B6F83"/>
    <w:rsid w:val="005C45E9"/>
    <w:rsid w:val="005C69A4"/>
    <w:rsid w:val="005C74FB"/>
    <w:rsid w:val="005D05D5"/>
    <w:rsid w:val="005D1602"/>
    <w:rsid w:val="005D7DB1"/>
    <w:rsid w:val="005E29DF"/>
    <w:rsid w:val="005E385F"/>
    <w:rsid w:val="005E3B74"/>
    <w:rsid w:val="005E5B81"/>
    <w:rsid w:val="005E6622"/>
    <w:rsid w:val="005F0B57"/>
    <w:rsid w:val="005F0F83"/>
    <w:rsid w:val="005F26EF"/>
    <w:rsid w:val="005F2CB1"/>
    <w:rsid w:val="005F3025"/>
    <w:rsid w:val="005F4D63"/>
    <w:rsid w:val="005F5C34"/>
    <w:rsid w:val="005F618C"/>
    <w:rsid w:val="005F6AE9"/>
    <w:rsid w:val="005F70BD"/>
    <w:rsid w:val="005F7B03"/>
    <w:rsid w:val="0060283C"/>
    <w:rsid w:val="00603DAB"/>
    <w:rsid w:val="00604AA4"/>
    <w:rsid w:val="00604C88"/>
    <w:rsid w:val="00604ECA"/>
    <w:rsid w:val="00604F14"/>
    <w:rsid w:val="0060641A"/>
    <w:rsid w:val="00606C0C"/>
    <w:rsid w:val="00611B83"/>
    <w:rsid w:val="00611F26"/>
    <w:rsid w:val="00613257"/>
    <w:rsid w:val="00615369"/>
    <w:rsid w:val="00616FAC"/>
    <w:rsid w:val="00620A71"/>
    <w:rsid w:val="00620D80"/>
    <w:rsid w:val="00620DAE"/>
    <w:rsid w:val="00622510"/>
    <w:rsid w:val="006234A6"/>
    <w:rsid w:val="00623CBA"/>
    <w:rsid w:val="00624E0C"/>
    <w:rsid w:val="0062685F"/>
    <w:rsid w:val="006271A4"/>
    <w:rsid w:val="00630001"/>
    <w:rsid w:val="006311B3"/>
    <w:rsid w:val="0063284C"/>
    <w:rsid w:val="0063618D"/>
    <w:rsid w:val="00636398"/>
    <w:rsid w:val="006368D3"/>
    <w:rsid w:val="006377EC"/>
    <w:rsid w:val="00637AAD"/>
    <w:rsid w:val="00640DFF"/>
    <w:rsid w:val="0064151F"/>
    <w:rsid w:val="00641533"/>
    <w:rsid w:val="0064208D"/>
    <w:rsid w:val="00643475"/>
    <w:rsid w:val="0064396A"/>
    <w:rsid w:val="0064624E"/>
    <w:rsid w:val="00646408"/>
    <w:rsid w:val="00650AB9"/>
    <w:rsid w:val="00651171"/>
    <w:rsid w:val="0065125A"/>
    <w:rsid w:val="0065130E"/>
    <w:rsid w:val="00655733"/>
    <w:rsid w:val="00655ACD"/>
    <w:rsid w:val="00656A92"/>
    <w:rsid w:val="00656DDE"/>
    <w:rsid w:val="0066011D"/>
    <w:rsid w:val="006603AB"/>
    <w:rsid w:val="006605D0"/>
    <w:rsid w:val="006607C0"/>
    <w:rsid w:val="00660C4D"/>
    <w:rsid w:val="00661070"/>
    <w:rsid w:val="006613A6"/>
    <w:rsid w:val="006627A2"/>
    <w:rsid w:val="006634E6"/>
    <w:rsid w:val="006635E9"/>
    <w:rsid w:val="00664969"/>
    <w:rsid w:val="00664D40"/>
    <w:rsid w:val="00665006"/>
    <w:rsid w:val="006655EE"/>
    <w:rsid w:val="0066585F"/>
    <w:rsid w:val="00665AF4"/>
    <w:rsid w:val="00667EE7"/>
    <w:rsid w:val="00670155"/>
    <w:rsid w:val="00670922"/>
    <w:rsid w:val="00670BE1"/>
    <w:rsid w:val="00670C54"/>
    <w:rsid w:val="0067218F"/>
    <w:rsid w:val="006741F2"/>
    <w:rsid w:val="00674CC3"/>
    <w:rsid w:val="00675885"/>
    <w:rsid w:val="00675C72"/>
    <w:rsid w:val="006771F9"/>
    <w:rsid w:val="006776D7"/>
    <w:rsid w:val="00680CAF"/>
    <w:rsid w:val="00681003"/>
    <w:rsid w:val="0068108C"/>
    <w:rsid w:val="006817C9"/>
    <w:rsid w:val="00681FF7"/>
    <w:rsid w:val="00682F57"/>
    <w:rsid w:val="00683526"/>
    <w:rsid w:val="006839D2"/>
    <w:rsid w:val="00683ECE"/>
    <w:rsid w:val="006855D6"/>
    <w:rsid w:val="0068609C"/>
    <w:rsid w:val="00686E20"/>
    <w:rsid w:val="0068773B"/>
    <w:rsid w:val="00694A82"/>
    <w:rsid w:val="00695FC2"/>
    <w:rsid w:val="00696619"/>
    <w:rsid w:val="00696949"/>
    <w:rsid w:val="00697052"/>
    <w:rsid w:val="006A02B1"/>
    <w:rsid w:val="006A0C52"/>
    <w:rsid w:val="006A0D8E"/>
    <w:rsid w:val="006A1E5A"/>
    <w:rsid w:val="006A46FB"/>
    <w:rsid w:val="006A5B3E"/>
    <w:rsid w:val="006A5E28"/>
    <w:rsid w:val="006A697B"/>
    <w:rsid w:val="006A7196"/>
    <w:rsid w:val="006A7AFF"/>
    <w:rsid w:val="006B1816"/>
    <w:rsid w:val="006B2099"/>
    <w:rsid w:val="006B301E"/>
    <w:rsid w:val="006B4B76"/>
    <w:rsid w:val="006B50CF"/>
    <w:rsid w:val="006B516B"/>
    <w:rsid w:val="006B5AAF"/>
    <w:rsid w:val="006B5BCC"/>
    <w:rsid w:val="006B653C"/>
    <w:rsid w:val="006C03B8"/>
    <w:rsid w:val="006C088A"/>
    <w:rsid w:val="006C0AAE"/>
    <w:rsid w:val="006C1CCF"/>
    <w:rsid w:val="006C2641"/>
    <w:rsid w:val="006C5EC9"/>
    <w:rsid w:val="006C6059"/>
    <w:rsid w:val="006C63A4"/>
    <w:rsid w:val="006C7522"/>
    <w:rsid w:val="006C76D9"/>
    <w:rsid w:val="006D0B41"/>
    <w:rsid w:val="006D39F8"/>
    <w:rsid w:val="006D3A3B"/>
    <w:rsid w:val="006D4FFA"/>
    <w:rsid w:val="006D51E1"/>
    <w:rsid w:val="006D5466"/>
    <w:rsid w:val="006D6F08"/>
    <w:rsid w:val="006E062C"/>
    <w:rsid w:val="006E1C82"/>
    <w:rsid w:val="006E1F75"/>
    <w:rsid w:val="006E28B7"/>
    <w:rsid w:val="006E2A9B"/>
    <w:rsid w:val="006E2F7A"/>
    <w:rsid w:val="006E3310"/>
    <w:rsid w:val="006E4E39"/>
    <w:rsid w:val="006E565E"/>
    <w:rsid w:val="006E673D"/>
    <w:rsid w:val="006E6FEE"/>
    <w:rsid w:val="006E7D3B"/>
    <w:rsid w:val="006F059C"/>
    <w:rsid w:val="006F0BFF"/>
    <w:rsid w:val="006F1B70"/>
    <w:rsid w:val="006F341D"/>
    <w:rsid w:val="006F3AA0"/>
    <w:rsid w:val="006F3CDE"/>
    <w:rsid w:val="006F4DF9"/>
    <w:rsid w:val="006F58D4"/>
    <w:rsid w:val="006F6268"/>
    <w:rsid w:val="006F6582"/>
    <w:rsid w:val="006F6620"/>
    <w:rsid w:val="006F79C2"/>
    <w:rsid w:val="007004A6"/>
    <w:rsid w:val="00701F66"/>
    <w:rsid w:val="0070346E"/>
    <w:rsid w:val="007048CD"/>
    <w:rsid w:val="00704EDB"/>
    <w:rsid w:val="00705E4F"/>
    <w:rsid w:val="00705E62"/>
    <w:rsid w:val="00706101"/>
    <w:rsid w:val="00707072"/>
    <w:rsid w:val="00707D61"/>
    <w:rsid w:val="00712287"/>
    <w:rsid w:val="00712772"/>
    <w:rsid w:val="007141EE"/>
    <w:rsid w:val="007148D3"/>
    <w:rsid w:val="00715B9A"/>
    <w:rsid w:val="0071680F"/>
    <w:rsid w:val="00724498"/>
    <w:rsid w:val="007247D3"/>
    <w:rsid w:val="00725507"/>
    <w:rsid w:val="007257D0"/>
    <w:rsid w:val="00725DC2"/>
    <w:rsid w:val="00726EA6"/>
    <w:rsid w:val="00727208"/>
    <w:rsid w:val="00727680"/>
    <w:rsid w:val="0073114C"/>
    <w:rsid w:val="007339E1"/>
    <w:rsid w:val="00734740"/>
    <w:rsid w:val="007348B1"/>
    <w:rsid w:val="007354D8"/>
    <w:rsid w:val="007355B2"/>
    <w:rsid w:val="007356B7"/>
    <w:rsid w:val="007361D7"/>
    <w:rsid w:val="007362A6"/>
    <w:rsid w:val="00736C8A"/>
    <w:rsid w:val="00736D7D"/>
    <w:rsid w:val="00740E58"/>
    <w:rsid w:val="0074232C"/>
    <w:rsid w:val="00744558"/>
    <w:rsid w:val="007445A0"/>
    <w:rsid w:val="0074524B"/>
    <w:rsid w:val="00745418"/>
    <w:rsid w:val="0074783B"/>
    <w:rsid w:val="00747B8A"/>
    <w:rsid w:val="00747D8B"/>
    <w:rsid w:val="007507D4"/>
    <w:rsid w:val="00751228"/>
    <w:rsid w:val="00751CE2"/>
    <w:rsid w:val="00754E7F"/>
    <w:rsid w:val="007571E1"/>
    <w:rsid w:val="00757A16"/>
    <w:rsid w:val="007604B2"/>
    <w:rsid w:val="0076121E"/>
    <w:rsid w:val="0076180C"/>
    <w:rsid w:val="007627B2"/>
    <w:rsid w:val="0076290D"/>
    <w:rsid w:val="0076463D"/>
    <w:rsid w:val="00765281"/>
    <w:rsid w:val="00765E9A"/>
    <w:rsid w:val="00766BAD"/>
    <w:rsid w:val="00771A0E"/>
    <w:rsid w:val="007729A2"/>
    <w:rsid w:val="00773C1A"/>
    <w:rsid w:val="00774432"/>
    <w:rsid w:val="00774B0F"/>
    <w:rsid w:val="0077534E"/>
    <w:rsid w:val="007755F2"/>
    <w:rsid w:val="00775FD1"/>
    <w:rsid w:val="00776971"/>
    <w:rsid w:val="00780A80"/>
    <w:rsid w:val="00781534"/>
    <w:rsid w:val="00781644"/>
    <w:rsid w:val="0078177E"/>
    <w:rsid w:val="007824D3"/>
    <w:rsid w:val="0078304C"/>
    <w:rsid w:val="0078366E"/>
    <w:rsid w:val="00783673"/>
    <w:rsid w:val="007841EB"/>
    <w:rsid w:val="007842E4"/>
    <w:rsid w:val="00785490"/>
    <w:rsid w:val="00785567"/>
    <w:rsid w:val="00785BB6"/>
    <w:rsid w:val="0079012F"/>
    <w:rsid w:val="00791291"/>
    <w:rsid w:val="007919F7"/>
    <w:rsid w:val="007925EA"/>
    <w:rsid w:val="007939AB"/>
    <w:rsid w:val="00793BCA"/>
    <w:rsid w:val="00793CD8"/>
    <w:rsid w:val="007950B5"/>
    <w:rsid w:val="00795C92"/>
    <w:rsid w:val="00796231"/>
    <w:rsid w:val="00797871"/>
    <w:rsid w:val="007A1CB3"/>
    <w:rsid w:val="007A1D07"/>
    <w:rsid w:val="007A211D"/>
    <w:rsid w:val="007A2638"/>
    <w:rsid w:val="007A306F"/>
    <w:rsid w:val="007A35E4"/>
    <w:rsid w:val="007A43A6"/>
    <w:rsid w:val="007A58A6"/>
    <w:rsid w:val="007A61BD"/>
    <w:rsid w:val="007B2D18"/>
    <w:rsid w:val="007B3B79"/>
    <w:rsid w:val="007B3D2D"/>
    <w:rsid w:val="007B478D"/>
    <w:rsid w:val="007B50AE"/>
    <w:rsid w:val="007B51DF"/>
    <w:rsid w:val="007C05DD"/>
    <w:rsid w:val="007C3C18"/>
    <w:rsid w:val="007C3D18"/>
    <w:rsid w:val="007C5885"/>
    <w:rsid w:val="007C60BF"/>
    <w:rsid w:val="007C68B3"/>
    <w:rsid w:val="007C6A07"/>
    <w:rsid w:val="007C75A1"/>
    <w:rsid w:val="007C77A5"/>
    <w:rsid w:val="007D04E5"/>
    <w:rsid w:val="007D11D8"/>
    <w:rsid w:val="007D1476"/>
    <w:rsid w:val="007D2683"/>
    <w:rsid w:val="007D2F01"/>
    <w:rsid w:val="007D5901"/>
    <w:rsid w:val="007D7526"/>
    <w:rsid w:val="007E033F"/>
    <w:rsid w:val="007E1C2E"/>
    <w:rsid w:val="007E2848"/>
    <w:rsid w:val="007E4610"/>
    <w:rsid w:val="007E4715"/>
    <w:rsid w:val="007E48BF"/>
    <w:rsid w:val="007E505B"/>
    <w:rsid w:val="007E7091"/>
    <w:rsid w:val="007E7837"/>
    <w:rsid w:val="007F13CC"/>
    <w:rsid w:val="007F1A8F"/>
    <w:rsid w:val="007F1D58"/>
    <w:rsid w:val="007F2A89"/>
    <w:rsid w:val="007F2C4F"/>
    <w:rsid w:val="007F6606"/>
    <w:rsid w:val="007F7769"/>
    <w:rsid w:val="00802677"/>
    <w:rsid w:val="00802DFD"/>
    <w:rsid w:val="0080304A"/>
    <w:rsid w:val="0080365C"/>
    <w:rsid w:val="00803FAE"/>
    <w:rsid w:val="008040C6"/>
    <w:rsid w:val="00804BB6"/>
    <w:rsid w:val="0080605F"/>
    <w:rsid w:val="00806FF3"/>
    <w:rsid w:val="0080701C"/>
    <w:rsid w:val="00807786"/>
    <w:rsid w:val="008079EF"/>
    <w:rsid w:val="0081015A"/>
    <w:rsid w:val="00811AF9"/>
    <w:rsid w:val="00811FCB"/>
    <w:rsid w:val="008123F0"/>
    <w:rsid w:val="008134B6"/>
    <w:rsid w:val="008158D6"/>
    <w:rsid w:val="00817196"/>
    <w:rsid w:val="008204CA"/>
    <w:rsid w:val="00820EF7"/>
    <w:rsid w:val="00821963"/>
    <w:rsid w:val="0082215A"/>
    <w:rsid w:val="008222AE"/>
    <w:rsid w:val="008235DB"/>
    <w:rsid w:val="00823717"/>
    <w:rsid w:val="008243B7"/>
    <w:rsid w:val="00824AB4"/>
    <w:rsid w:val="00825C42"/>
    <w:rsid w:val="00825D25"/>
    <w:rsid w:val="00826CFD"/>
    <w:rsid w:val="00827486"/>
    <w:rsid w:val="0082766A"/>
    <w:rsid w:val="0082790F"/>
    <w:rsid w:val="00827D6F"/>
    <w:rsid w:val="00827E08"/>
    <w:rsid w:val="008304E0"/>
    <w:rsid w:val="008308D2"/>
    <w:rsid w:val="008309EC"/>
    <w:rsid w:val="00834520"/>
    <w:rsid w:val="0083478D"/>
    <w:rsid w:val="008376AC"/>
    <w:rsid w:val="008407DD"/>
    <w:rsid w:val="0084217E"/>
    <w:rsid w:val="00843056"/>
    <w:rsid w:val="00843D14"/>
    <w:rsid w:val="008444E8"/>
    <w:rsid w:val="00844556"/>
    <w:rsid w:val="00844668"/>
    <w:rsid w:val="00844E80"/>
    <w:rsid w:val="00846FE7"/>
    <w:rsid w:val="008470C4"/>
    <w:rsid w:val="008538DF"/>
    <w:rsid w:val="00855F39"/>
    <w:rsid w:val="00856093"/>
    <w:rsid w:val="00856911"/>
    <w:rsid w:val="0085732F"/>
    <w:rsid w:val="0086169C"/>
    <w:rsid w:val="0086170E"/>
    <w:rsid w:val="008677FD"/>
    <w:rsid w:val="008706D4"/>
    <w:rsid w:val="00870F2B"/>
    <w:rsid w:val="00870F8A"/>
    <w:rsid w:val="008719A4"/>
    <w:rsid w:val="00871D23"/>
    <w:rsid w:val="00871F6A"/>
    <w:rsid w:val="00873FD8"/>
    <w:rsid w:val="008741FF"/>
    <w:rsid w:val="00874312"/>
    <w:rsid w:val="0087437C"/>
    <w:rsid w:val="00875020"/>
    <w:rsid w:val="00875219"/>
    <w:rsid w:val="00875CD7"/>
    <w:rsid w:val="00876A10"/>
    <w:rsid w:val="00876B4D"/>
    <w:rsid w:val="00876C47"/>
    <w:rsid w:val="00877F18"/>
    <w:rsid w:val="00882F0A"/>
    <w:rsid w:val="00883319"/>
    <w:rsid w:val="00883B7D"/>
    <w:rsid w:val="00885B0B"/>
    <w:rsid w:val="00887D9F"/>
    <w:rsid w:val="008941E3"/>
    <w:rsid w:val="00894A88"/>
    <w:rsid w:val="00895386"/>
    <w:rsid w:val="008A21FF"/>
    <w:rsid w:val="008A28FD"/>
    <w:rsid w:val="008A2CE2"/>
    <w:rsid w:val="008A30AC"/>
    <w:rsid w:val="008A324B"/>
    <w:rsid w:val="008A44B8"/>
    <w:rsid w:val="008A50B5"/>
    <w:rsid w:val="008A51A8"/>
    <w:rsid w:val="008A5422"/>
    <w:rsid w:val="008A54C7"/>
    <w:rsid w:val="008A564A"/>
    <w:rsid w:val="008A77D8"/>
    <w:rsid w:val="008A7D77"/>
    <w:rsid w:val="008B0399"/>
    <w:rsid w:val="008B0483"/>
    <w:rsid w:val="008B120C"/>
    <w:rsid w:val="008B13A0"/>
    <w:rsid w:val="008B3E8C"/>
    <w:rsid w:val="008B4B4C"/>
    <w:rsid w:val="008B51A0"/>
    <w:rsid w:val="008B52F0"/>
    <w:rsid w:val="008B545C"/>
    <w:rsid w:val="008B592A"/>
    <w:rsid w:val="008B5C33"/>
    <w:rsid w:val="008B5CB1"/>
    <w:rsid w:val="008B7761"/>
    <w:rsid w:val="008B7B5C"/>
    <w:rsid w:val="008C01E9"/>
    <w:rsid w:val="008C0C99"/>
    <w:rsid w:val="008C113F"/>
    <w:rsid w:val="008C1C0A"/>
    <w:rsid w:val="008C2017"/>
    <w:rsid w:val="008C2550"/>
    <w:rsid w:val="008C2803"/>
    <w:rsid w:val="008C2A8A"/>
    <w:rsid w:val="008C4958"/>
    <w:rsid w:val="008C4BAA"/>
    <w:rsid w:val="008C62C3"/>
    <w:rsid w:val="008C6AE8"/>
    <w:rsid w:val="008C7573"/>
    <w:rsid w:val="008D00A5"/>
    <w:rsid w:val="008D2103"/>
    <w:rsid w:val="008D34F1"/>
    <w:rsid w:val="008D39D8"/>
    <w:rsid w:val="008D6143"/>
    <w:rsid w:val="008D66B2"/>
    <w:rsid w:val="008D66B4"/>
    <w:rsid w:val="008D6D1A"/>
    <w:rsid w:val="008E065E"/>
    <w:rsid w:val="008E0927"/>
    <w:rsid w:val="008E1909"/>
    <w:rsid w:val="008E1E16"/>
    <w:rsid w:val="008E5579"/>
    <w:rsid w:val="008F0FD0"/>
    <w:rsid w:val="008F1E99"/>
    <w:rsid w:val="008F1EAB"/>
    <w:rsid w:val="008F33DC"/>
    <w:rsid w:val="008F38E1"/>
    <w:rsid w:val="008F44B9"/>
    <w:rsid w:val="008F477F"/>
    <w:rsid w:val="008F4AC9"/>
    <w:rsid w:val="008F78E9"/>
    <w:rsid w:val="009007E9"/>
    <w:rsid w:val="0090082A"/>
    <w:rsid w:val="00902350"/>
    <w:rsid w:val="0090336B"/>
    <w:rsid w:val="009053AA"/>
    <w:rsid w:val="00905AE0"/>
    <w:rsid w:val="00906939"/>
    <w:rsid w:val="00906CAD"/>
    <w:rsid w:val="00907F21"/>
    <w:rsid w:val="0091059A"/>
    <w:rsid w:val="00910B7D"/>
    <w:rsid w:val="009110D4"/>
    <w:rsid w:val="00911DFB"/>
    <w:rsid w:val="00911F1A"/>
    <w:rsid w:val="009139D9"/>
    <w:rsid w:val="00914AD8"/>
    <w:rsid w:val="00916079"/>
    <w:rsid w:val="00916387"/>
    <w:rsid w:val="009167E3"/>
    <w:rsid w:val="00917CE9"/>
    <w:rsid w:val="00920BF2"/>
    <w:rsid w:val="0092135E"/>
    <w:rsid w:val="00921E73"/>
    <w:rsid w:val="00922010"/>
    <w:rsid w:val="0092220C"/>
    <w:rsid w:val="0092293C"/>
    <w:rsid w:val="009256AB"/>
    <w:rsid w:val="009256C3"/>
    <w:rsid w:val="00926472"/>
    <w:rsid w:val="009271D0"/>
    <w:rsid w:val="009319D5"/>
    <w:rsid w:val="00931B48"/>
    <w:rsid w:val="00931BD9"/>
    <w:rsid w:val="0093419D"/>
    <w:rsid w:val="009365CE"/>
    <w:rsid w:val="009368F3"/>
    <w:rsid w:val="009408CC"/>
    <w:rsid w:val="00940C46"/>
    <w:rsid w:val="00941636"/>
    <w:rsid w:val="00941E86"/>
    <w:rsid w:val="00943706"/>
    <w:rsid w:val="00943742"/>
    <w:rsid w:val="00943773"/>
    <w:rsid w:val="00944C26"/>
    <w:rsid w:val="00945AEF"/>
    <w:rsid w:val="00945C05"/>
    <w:rsid w:val="00946202"/>
    <w:rsid w:val="00946945"/>
    <w:rsid w:val="00946A19"/>
    <w:rsid w:val="00947713"/>
    <w:rsid w:val="00947CC0"/>
    <w:rsid w:val="009507F6"/>
    <w:rsid w:val="00950D03"/>
    <w:rsid w:val="00950DE7"/>
    <w:rsid w:val="009528FF"/>
    <w:rsid w:val="00953136"/>
    <w:rsid w:val="00953216"/>
    <w:rsid w:val="00953920"/>
    <w:rsid w:val="00953D47"/>
    <w:rsid w:val="009550FB"/>
    <w:rsid w:val="00955AEA"/>
    <w:rsid w:val="0095681E"/>
    <w:rsid w:val="009572D4"/>
    <w:rsid w:val="009603A8"/>
    <w:rsid w:val="00961921"/>
    <w:rsid w:val="00962473"/>
    <w:rsid w:val="00962803"/>
    <w:rsid w:val="0096430A"/>
    <w:rsid w:val="009644CA"/>
    <w:rsid w:val="0096554B"/>
    <w:rsid w:val="0096584A"/>
    <w:rsid w:val="00965E37"/>
    <w:rsid w:val="00970E1E"/>
    <w:rsid w:val="00971F08"/>
    <w:rsid w:val="0097269A"/>
    <w:rsid w:val="00975789"/>
    <w:rsid w:val="0097603D"/>
    <w:rsid w:val="009762A5"/>
    <w:rsid w:val="00976949"/>
    <w:rsid w:val="00980477"/>
    <w:rsid w:val="0098090B"/>
    <w:rsid w:val="009821F9"/>
    <w:rsid w:val="009846E7"/>
    <w:rsid w:val="00985253"/>
    <w:rsid w:val="009853B3"/>
    <w:rsid w:val="009867BF"/>
    <w:rsid w:val="00986EA9"/>
    <w:rsid w:val="00987647"/>
    <w:rsid w:val="00990630"/>
    <w:rsid w:val="00991761"/>
    <w:rsid w:val="00992EF0"/>
    <w:rsid w:val="00994DCA"/>
    <w:rsid w:val="00995438"/>
    <w:rsid w:val="009960EC"/>
    <w:rsid w:val="00996318"/>
    <w:rsid w:val="009970DD"/>
    <w:rsid w:val="00997F19"/>
    <w:rsid w:val="009A02AB"/>
    <w:rsid w:val="009A0FBA"/>
    <w:rsid w:val="009A1601"/>
    <w:rsid w:val="009A1B4C"/>
    <w:rsid w:val="009A268C"/>
    <w:rsid w:val="009A3304"/>
    <w:rsid w:val="009A394D"/>
    <w:rsid w:val="009A3BB6"/>
    <w:rsid w:val="009A462D"/>
    <w:rsid w:val="009A5CBA"/>
    <w:rsid w:val="009A6B6D"/>
    <w:rsid w:val="009B0B97"/>
    <w:rsid w:val="009B0DF3"/>
    <w:rsid w:val="009B1F30"/>
    <w:rsid w:val="009B3AC2"/>
    <w:rsid w:val="009B4DF4"/>
    <w:rsid w:val="009B564E"/>
    <w:rsid w:val="009B5892"/>
    <w:rsid w:val="009B6432"/>
    <w:rsid w:val="009B6CF0"/>
    <w:rsid w:val="009B7E49"/>
    <w:rsid w:val="009B7E87"/>
    <w:rsid w:val="009C0169"/>
    <w:rsid w:val="009C06B2"/>
    <w:rsid w:val="009C403E"/>
    <w:rsid w:val="009C428D"/>
    <w:rsid w:val="009C52F3"/>
    <w:rsid w:val="009C5DCC"/>
    <w:rsid w:val="009C61F3"/>
    <w:rsid w:val="009C78F9"/>
    <w:rsid w:val="009C7922"/>
    <w:rsid w:val="009D0F03"/>
    <w:rsid w:val="009D1D2B"/>
    <w:rsid w:val="009D3058"/>
    <w:rsid w:val="009D4FF0"/>
    <w:rsid w:val="009D703C"/>
    <w:rsid w:val="009D718F"/>
    <w:rsid w:val="009D7A60"/>
    <w:rsid w:val="009E0488"/>
    <w:rsid w:val="009E068F"/>
    <w:rsid w:val="009E0E51"/>
    <w:rsid w:val="009E14E0"/>
    <w:rsid w:val="009E271E"/>
    <w:rsid w:val="009E35DB"/>
    <w:rsid w:val="009E47A3"/>
    <w:rsid w:val="009E53FC"/>
    <w:rsid w:val="009E5E79"/>
    <w:rsid w:val="009E729D"/>
    <w:rsid w:val="009E79DB"/>
    <w:rsid w:val="009E7AFF"/>
    <w:rsid w:val="009E7D13"/>
    <w:rsid w:val="009F08F3"/>
    <w:rsid w:val="009F1E27"/>
    <w:rsid w:val="009F344F"/>
    <w:rsid w:val="009F409F"/>
    <w:rsid w:val="009F5693"/>
    <w:rsid w:val="009F700B"/>
    <w:rsid w:val="00A0134A"/>
    <w:rsid w:val="00A01AF5"/>
    <w:rsid w:val="00A031D8"/>
    <w:rsid w:val="00A048A8"/>
    <w:rsid w:val="00A04F49"/>
    <w:rsid w:val="00A1151A"/>
    <w:rsid w:val="00A12B68"/>
    <w:rsid w:val="00A13E54"/>
    <w:rsid w:val="00A140C5"/>
    <w:rsid w:val="00A1448C"/>
    <w:rsid w:val="00A154D3"/>
    <w:rsid w:val="00A16313"/>
    <w:rsid w:val="00A17BB9"/>
    <w:rsid w:val="00A17DA2"/>
    <w:rsid w:val="00A17F63"/>
    <w:rsid w:val="00A20752"/>
    <w:rsid w:val="00A20CCD"/>
    <w:rsid w:val="00A2193B"/>
    <w:rsid w:val="00A2351A"/>
    <w:rsid w:val="00A25EC0"/>
    <w:rsid w:val="00A261F3"/>
    <w:rsid w:val="00A264A9"/>
    <w:rsid w:val="00A26DCF"/>
    <w:rsid w:val="00A26E15"/>
    <w:rsid w:val="00A2724B"/>
    <w:rsid w:val="00A27624"/>
    <w:rsid w:val="00A27785"/>
    <w:rsid w:val="00A30187"/>
    <w:rsid w:val="00A30376"/>
    <w:rsid w:val="00A311B0"/>
    <w:rsid w:val="00A319FE"/>
    <w:rsid w:val="00A33147"/>
    <w:rsid w:val="00A3448A"/>
    <w:rsid w:val="00A344A6"/>
    <w:rsid w:val="00A34710"/>
    <w:rsid w:val="00A34BFF"/>
    <w:rsid w:val="00A36297"/>
    <w:rsid w:val="00A36DF4"/>
    <w:rsid w:val="00A415C9"/>
    <w:rsid w:val="00A41E2B"/>
    <w:rsid w:val="00A431A8"/>
    <w:rsid w:val="00A450EB"/>
    <w:rsid w:val="00A45561"/>
    <w:rsid w:val="00A45B74"/>
    <w:rsid w:val="00A52651"/>
    <w:rsid w:val="00A52E1D"/>
    <w:rsid w:val="00A5334D"/>
    <w:rsid w:val="00A56580"/>
    <w:rsid w:val="00A60EF8"/>
    <w:rsid w:val="00A61499"/>
    <w:rsid w:val="00A625FF"/>
    <w:rsid w:val="00A62A77"/>
    <w:rsid w:val="00A62FD4"/>
    <w:rsid w:val="00A63483"/>
    <w:rsid w:val="00A63D54"/>
    <w:rsid w:val="00A6573C"/>
    <w:rsid w:val="00A657D7"/>
    <w:rsid w:val="00A660AC"/>
    <w:rsid w:val="00A66115"/>
    <w:rsid w:val="00A67E6C"/>
    <w:rsid w:val="00A702E2"/>
    <w:rsid w:val="00A70C0E"/>
    <w:rsid w:val="00A71B99"/>
    <w:rsid w:val="00A71D2F"/>
    <w:rsid w:val="00A72844"/>
    <w:rsid w:val="00A72FF8"/>
    <w:rsid w:val="00A7374D"/>
    <w:rsid w:val="00A739D0"/>
    <w:rsid w:val="00A75E1B"/>
    <w:rsid w:val="00A75F1D"/>
    <w:rsid w:val="00A761D4"/>
    <w:rsid w:val="00A77EC4"/>
    <w:rsid w:val="00A804C5"/>
    <w:rsid w:val="00A80842"/>
    <w:rsid w:val="00A80C65"/>
    <w:rsid w:val="00A8119F"/>
    <w:rsid w:val="00A82E82"/>
    <w:rsid w:val="00A906FB"/>
    <w:rsid w:val="00A92879"/>
    <w:rsid w:val="00A92E28"/>
    <w:rsid w:val="00A9442A"/>
    <w:rsid w:val="00A95814"/>
    <w:rsid w:val="00A97C59"/>
    <w:rsid w:val="00AA016F"/>
    <w:rsid w:val="00AA10AE"/>
    <w:rsid w:val="00AA1B44"/>
    <w:rsid w:val="00AA1ED6"/>
    <w:rsid w:val="00AA3477"/>
    <w:rsid w:val="00AA3B6F"/>
    <w:rsid w:val="00AA4BA9"/>
    <w:rsid w:val="00AA51D6"/>
    <w:rsid w:val="00AA5BDD"/>
    <w:rsid w:val="00AA7278"/>
    <w:rsid w:val="00AA7A7E"/>
    <w:rsid w:val="00AB0BC8"/>
    <w:rsid w:val="00AB11CA"/>
    <w:rsid w:val="00AB14D9"/>
    <w:rsid w:val="00AB17FD"/>
    <w:rsid w:val="00AB18DD"/>
    <w:rsid w:val="00AB2365"/>
    <w:rsid w:val="00AB4AB8"/>
    <w:rsid w:val="00AB57BE"/>
    <w:rsid w:val="00AB5BD3"/>
    <w:rsid w:val="00AB655E"/>
    <w:rsid w:val="00AB7773"/>
    <w:rsid w:val="00AC007F"/>
    <w:rsid w:val="00AC2ECD"/>
    <w:rsid w:val="00AC3119"/>
    <w:rsid w:val="00AC49FB"/>
    <w:rsid w:val="00AC4CCF"/>
    <w:rsid w:val="00AC52B0"/>
    <w:rsid w:val="00AC5A10"/>
    <w:rsid w:val="00AC5A24"/>
    <w:rsid w:val="00AC62CD"/>
    <w:rsid w:val="00AC6E5C"/>
    <w:rsid w:val="00AC777F"/>
    <w:rsid w:val="00AD0AA3"/>
    <w:rsid w:val="00AD144F"/>
    <w:rsid w:val="00AD172D"/>
    <w:rsid w:val="00AD1D93"/>
    <w:rsid w:val="00AD2125"/>
    <w:rsid w:val="00AD39F2"/>
    <w:rsid w:val="00AD3F94"/>
    <w:rsid w:val="00AD4A5A"/>
    <w:rsid w:val="00AD6196"/>
    <w:rsid w:val="00AD745E"/>
    <w:rsid w:val="00AD7FC4"/>
    <w:rsid w:val="00AE27AC"/>
    <w:rsid w:val="00AE3830"/>
    <w:rsid w:val="00AE387A"/>
    <w:rsid w:val="00AE40E0"/>
    <w:rsid w:val="00AE4DBA"/>
    <w:rsid w:val="00AE4F07"/>
    <w:rsid w:val="00AE6A8D"/>
    <w:rsid w:val="00AE6B5C"/>
    <w:rsid w:val="00AF1C5D"/>
    <w:rsid w:val="00AF1CC3"/>
    <w:rsid w:val="00AF42D7"/>
    <w:rsid w:val="00AF6389"/>
    <w:rsid w:val="00AF65C8"/>
    <w:rsid w:val="00B00325"/>
    <w:rsid w:val="00B006FE"/>
    <w:rsid w:val="00B007CB"/>
    <w:rsid w:val="00B007F9"/>
    <w:rsid w:val="00B00A0A"/>
    <w:rsid w:val="00B00C55"/>
    <w:rsid w:val="00B00F35"/>
    <w:rsid w:val="00B01633"/>
    <w:rsid w:val="00B01CC8"/>
    <w:rsid w:val="00B02AA9"/>
    <w:rsid w:val="00B02D54"/>
    <w:rsid w:val="00B02FA3"/>
    <w:rsid w:val="00B03634"/>
    <w:rsid w:val="00B05084"/>
    <w:rsid w:val="00B07D0B"/>
    <w:rsid w:val="00B102E7"/>
    <w:rsid w:val="00B12172"/>
    <w:rsid w:val="00B12335"/>
    <w:rsid w:val="00B14358"/>
    <w:rsid w:val="00B14E2D"/>
    <w:rsid w:val="00B157F9"/>
    <w:rsid w:val="00B20256"/>
    <w:rsid w:val="00B20D09"/>
    <w:rsid w:val="00B2305D"/>
    <w:rsid w:val="00B23385"/>
    <w:rsid w:val="00B233E6"/>
    <w:rsid w:val="00B234DD"/>
    <w:rsid w:val="00B24B97"/>
    <w:rsid w:val="00B25483"/>
    <w:rsid w:val="00B267D2"/>
    <w:rsid w:val="00B2763F"/>
    <w:rsid w:val="00B27AAC"/>
    <w:rsid w:val="00B30929"/>
    <w:rsid w:val="00B3118D"/>
    <w:rsid w:val="00B326E2"/>
    <w:rsid w:val="00B329D9"/>
    <w:rsid w:val="00B336F7"/>
    <w:rsid w:val="00B372AA"/>
    <w:rsid w:val="00B3786B"/>
    <w:rsid w:val="00B400CF"/>
    <w:rsid w:val="00B40445"/>
    <w:rsid w:val="00B409E0"/>
    <w:rsid w:val="00B41667"/>
    <w:rsid w:val="00B41888"/>
    <w:rsid w:val="00B41FFA"/>
    <w:rsid w:val="00B45A52"/>
    <w:rsid w:val="00B46175"/>
    <w:rsid w:val="00B46A7C"/>
    <w:rsid w:val="00B51B79"/>
    <w:rsid w:val="00B54859"/>
    <w:rsid w:val="00B548B7"/>
    <w:rsid w:val="00B560CB"/>
    <w:rsid w:val="00B573ED"/>
    <w:rsid w:val="00B575FA"/>
    <w:rsid w:val="00B57A2C"/>
    <w:rsid w:val="00B604E4"/>
    <w:rsid w:val="00B60D1D"/>
    <w:rsid w:val="00B618FC"/>
    <w:rsid w:val="00B664C7"/>
    <w:rsid w:val="00B709FE"/>
    <w:rsid w:val="00B72B0A"/>
    <w:rsid w:val="00B73757"/>
    <w:rsid w:val="00B739F6"/>
    <w:rsid w:val="00B73F94"/>
    <w:rsid w:val="00B7488F"/>
    <w:rsid w:val="00B7524E"/>
    <w:rsid w:val="00B75E46"/>
    <w:rsid w:val="00B76400"/>
    <w:rsid w:val="00B766ED"/>
    <w:rsid w:val="00B77147"/>
    <w:rsid w:val="00B7766A"/>
    <w:rsid w:val="00B80464"/>
    <w:rsid w:val="00B81A6C"/>
    <w:rsid w:val="00B8470E"/>
    <w:rsid w:val="00B85607"/>
    <w:rsid w:val="00B85C51"/>
    <w:rsid w:val="00B85DE5"/>
    <w:rsid w:val="00B90699"/>
    <w:rsid w:val="00B90DF7"/>
    <w:rsid w:val="00B90F73"/>
    <w:rsid w:val="00B91F58"/>
    <w:rsid w:val="00B92259"/>
    <w:rsid w:val="00B923C6"/>
    <w:rsid w:val="00B93160"/>
    <w:rsid w:val="00B93B59"/>
    <w:rsid w:val="00B9406A"/>
    <w:rsid w:val="00B94172"/>
    <w:rsid w:val="00B95057"/>
    <w:rsid w:val="00B974D1"/>
    <w:rsid w:val="00B976C9"/>
    <w:rsid w:val="00B977B0"/>
    <w:rsid w:val="00BA2280"/>
    <w:rsid w:val="00BA2A08"/>
    <w:rsid w:val="00BA3B72"/>
    <w:rsid w:val="00BA48A8"/>
    <w:rsid w:val="00BA56D2"/>
    <w:rsid w:val="00BA74E7"/>
    <w:rsid w:val="00BA76E0"/>
    <w:rsid w:val="00BB0E02"/>
    <w:rsid w:val="00BB22AD"/>
    <w:rsid w:val="00BB263D"/>
    <w:rsid w:val="00BB2935"/>
    <w:rsid w:val="00BB2A25"/>
    <w:rsid w:val="00BB42F9"/>
    <w:rsid w:val="00BB51E9"/>
    <w:rsid w:val="00BB5D21"/>
    <w:rsid w:val="00BB70F3"/>
    <w:rsid w:val="00BC03F5"/>
    <w:rsid w:val="00BC0FDC"/>
    <w:rsid w:val="00BC13E5"/>
    <w:rsid w:val="00BC1510"/>
    <w:rsid w:val="00BC3053"/>
    <w:rsid w:val="00BC4D2E"/>
    <w:rsid w:val="00BC6445"/>
    <w:rsid w:val="00BC6C86"/>
    <w:rsid w:val="00BC757D"/>
    <w:rsid w:val="00BD0B99"/>
    <w:rsid w:val="00BD11E3"/>
    <w:rsid w:val="00BD34C2"/>
    <w:rsid w:val="00BD48AC"/>
    <w:rsid w:val="00BD5F1A"/>
    <w:rsid w:val="00BE1234"/>
    <w:rsid w:val="00BE1E52"/>
    <w:rsid w:val="00BE2FA6"/>
    <w:rsid w:val="00BE333F"/>
    <w:rsid w:val="00BE3596"/>
    <w:rsid w:val="00BE3AE2"/>
    <w:rsid w:val="00BE5156"/>
    <w:rsid w:val="00BE7406"/>
    <w:rsid w:val="00BE7603"/>
    <w:rsid w:val="00BF2357"/>
    <w:rsid w:val="00BF25EF"/>
    <w:rsid w:val="00BF3279"/>
    <w:rsid w:val="00BF42C3"/>
    <w:rsid w:val="00BF54B2"/>
    <w:rsid w:val="00BF74C7"/>
    <w:rsid w:val="00C00314"/>
    <w:rsid w:val="00C015F1"/>
    <w:rsid w:val="00C01ED9"/>
    <w:rsid w:val="00C01F33"/>
    <w:rsid w:val="00C02CC6"/>
    <w:rsid w:val="00C02F1E"/>
    <w:rsid w:val="00C0340E"/>
    <w:rsid w:val="00C040F7"/>
    <w:rsid w:val="00C044AB"/>
    <w:rsid w:val="00C04830"/>
    <w:rsid w:val="00C05706"/>
    <w:rsid w:val="00C07377"/>
    <w:rsid w:val="00C10478"/>
    <w:rsid w:val="00C12107"/>
    <w:rsid w:val="00C12A31"/>
    <w:rsid w:val="00C13A4F"/>
    <w:rsid w:val="00C141D2"/>
    <w:rsid w:val="00C14AFC"/>
    <w:rsid w:val="00C14BF2"/>
    <w:rsid w:val="00C14D4B"/>
    <w:rsid w:val="00C154BB"/>
    <w:rsid w:val="00C16571"/>
    <w:rsid w:val="00C16D53"/>
    <w:rsid w:val="00C210EE"/>
    <w:rsid w:val="00C22A75"/>
    <w:rsid w:val="00C244E3"/>
    <w:rsid w:val="00C2610B"/>
    <w:rsid w:val="00C26D0D"/>
    <w:rsid w:val="00C279B5"/>
    <w:rsid w:val="00C27C45"/>
    <w:rsid w:val="00C32174"/>
    <w:rsid w:val="00C322F9"/>
    <w:rsid w:val="00C32572"/>
    <w:rsid w:val="00C32AD9"/>
    <w:rsid w:val="00C352C2"/>
    <w:rsid w:val="00C3719D"/>
    <w:rsid w:val="00C37CB2"/>
    <w:rsid w:val="00C4062A"/>
    <w:rsid w:val="00C40982"/>
    <w:rsid w:val="00C40C09"/>
    <w:rsid w:val="00C414B0"/>
    <w:rsid w:val="00C418F8"/>
    <w:rsid w:val="00C41F21"/>
    <w:rsid w:val="00C422E1"/>
    <w:rsid w:val="00C442EA"/>
    <w:rsid w:val="00C45707"/>
    <w:rsid w:val="00C473A5"/>
    <w:rsid w:val="00C50844"/>
    <w:rsid w:val="00C5317E"/>
    <w:rsid w:val="00C54995"/>
    <w:rsid w:val="00C54D41"/>
    <w:rsid w:val="00C55CB1"/>
    <w:rsid w:val="00C56BD9"/>
    <w:rsid w:val="00C60783"/>
    <w:rsid w:val="00C62E58"/>
    <w:rsid w:val="00C639FA"/>
    <w:rsid w:val="00C644B9"/>
    <w:rsid w:val="00C64672"/>
    <w:rsid w:val="00C6604B"/>
    <w:rsid w:val="00C6776E"/>
    <w:rsid w:val="00C70697"/>
    <w:rsid w:val="00C716FD"/>
    <w:rsid w:val="00C72093"/>
    <w:rsid w:val="00C729A4"/>
    <w:rsid w:val="00C72EF4"/>
    <w:rsid w:val="00C73765"/>
    <w:rsid w:val="00C744FE"/>
    <w:rsid w:val="00C74CD5"/>
    <w:rsid w:val="00C75D2F"/>
    <w:rsid w:val="00C762B7"/>
    <w:rsid w:val="00C767BE"/>
    <w:rsid w:val="00C76E3C"/>
    <w:rsid w:val="00C80D78"/>
    <w:rsid w:val="00C81568"/>
    <w:rsid w:val="00C81A2C"/>
    <w:rsid w:val="00C82672"/>
    <w:rsid w:val="00C83B43"/>
    <w:rsid w:val="00C863E0"/>
    <w:rsid w:val="00C87C1E"/>
    <w:rsid w:val="00C87F60"/>
    <w:rsid w:val="00C9027A"/>
    <w:rsid w:val="00C9068E"/>
    <w:rsid w:val="00C90A92"/>
    <w:rsid w:val="00C9318D"/>
    <w:rsid w:val="00C93578"/>
    <w:rsid w:val="00C93814"/>
    <w:rsid w:val="00C93C4B"/>
    <w:rsid w:val="00C93D9A"/>
    <w:rsid w:val="00C944AB"/>
    <w:rsid w:val="00C95B40"/>
    <w:rsid w:val="00C96A9B"/>
    <w:rsid w:val="00C97808"/>
    <w:rsid w:val="00CA0A36"/>
    <w:rsid w:val="00CA12B1"/>
    <w:rsid w:val="00CA1ED8"/>
    <w:rsid w:val="00CA3D5C"/>
    <w:rsid w:val="00CA44A9"/>
    <w:rsid w:val="00CB1F63"/>
    <w:rsid w:val="00CB3283"/>
    <w:rsid w:val="00CB3448"/>
    <w:rsid w:val="00CB5D57"/>
    <w:rsid w:val="00CB7170"/>
    <w:rsid w:val="00CB7C36"/>
    <w:rsid w:val="00CC040E"/>
    <w:rsid w:val="00CC111F"/>
    <w:rsid w:val="00CC2011"/>
    <w:rsid w:val="00CC3446"/>
    <w:rsid w:val="00CC3EA0"/>
    <w:rsid w:val="00CC52C1"/>
    <w:rsid w:val="00CC6665"/>
    <w:rsid w:val="00CC7B45"/>
    <w:rsid w:val="00CD0D2D"/>
    <w:rsid w:val="00CD1188"/>
    <w:rsid w:val="00CD2ED1"/>
    <w:rsid w:val="00CD337B"/>
    <w:rsid w:val="00CD338F"/>
    <w:rsid w:val="00CD370C"/>
    <w:rsid w:val="00CD3F93"/>
    <w:rsid w:val="00CD6966"/>
    <w:rsid w:val="00CD74BE"/>
    <w:rsid w:val="00CE0424"/>
    <w:rsid w:val="00CE4776"/>
    <w:rsid w:val="00CE5A2F"/>
    <w:rsid w:val="00CE7561"/>
    <w:rsid w:val="00CF0402"/>
    <w:rsid w:val="00CF1354"/>
    <w:rsid w:val="00CF3B1F"/>
    <w:rsid w:val="00CF3BF6"/>
    <w:rsid w:val="00CF41D1"/>
    <w:rsid w:val="00CF625B"/>
    <w:rsid w:val="00CF6749"/>
    <w:rsid w:val="00CF687E"/>
    <w:rsid w:val="00CF6D03"/>
    <w:rsid w:val="00CF771C"/>
    <w:rsid w:val="00CF7ABE"/>
    <w:rsid w:val="00D002EC"/>
    <w:rsid w:val="00D0349B"/>
    <w:rsid w:val="00D03924"/>
    <w:rsid w:val="00D03A70"/>
    <w:rsid w:val="00D05C43"/>
    <w:rsid w:val="00D05DAE"/>
    <w:rsid w:val="00D061FB"/>
    <w:rsid w:val="00D10249"/>
    <w:rsid w:val="00D115C3"/>
    <w:rsid w:val="00D116B5"/>
    <w:rsid w:val="00D11897"/>
    <w:rsid w:val="00D12096"/>
    <w:rsid w:val="00D13135"/>
    <w:rsid w:val="00D13E4E"/>
    <w:rsid w:val="00D14A6C"/>
    <w:rsid w:val="00D153CD"/>
    <w:rsid w:val="00D17E81"/>
    <w:rsid w:val="00D21980"/>
    <w:rsid w:val="00D224A7"/>
    <w:rsid w:val="00D239A7"/>
    <w:rsid w:val="00D23F47"/>
    <w:rsid w:val="00D2527E"/>
    <w:rsid w:val="00D25C06"/>
    <w:rsid w:val="00D27092"/>
    <w:rsid w:val="00D27BC5"/>
    <w:rsid w:val="00D322FE"/>
    <w:rsid w:val="00D33422"/>
    <w:rsid w:val="00D3345B"/>
    <w:rsid w:val="00D36E71"/>
    <w:rsid w:val="00D37D87"/>
    <w:rsid w:val="00D40B33"/>
    <w:rsid w:val="00D412B7"/>
    <w:rsid w:val="00D427B7"/>
    <w:rsid w:val="00D4318F"/>
    <w:rsid w:val="00D438BF"/>
    <w:rsid w:val="00D440F8"/>
    <w:rsid w:val="00D46622"/>
    <w:rsid w:val="00D546FF"/>
    <w:rsid w:val="00D55671"/>
    <w:rsid w:val="00D55A8E"/>
    <w:rsid w:val="00D55AD5"/>
    <w:rsid w:val="00D55EB4"/>
    <w:rsid w:val="00D561FF"/>
    <w:rsid w:val="00D576CA"/>
    <w:rsid w:val="00D57B39"/>
    <w:rsid w:val="00D600E0"/>
    <w:rsid w:val="00D60DFE"/>
    <w:rsid w:val="00D61AF5"/>
    <w:rsid w:val="00D63221"/>
    <w:rsid w:val="00D64EB3"/>
    <w:rsid w:val="00D652B5"/>
    <w:rsid w:val="00D66155"/>
    <w:rsid w:val="00D7068F"/>
    <w:rsid w:val="00D708B0"/>
    <w:rsid w:val="00D72987"/>
    <w:rsid w:val="00D72B0C"/>
    <w:rsid w:val="00D7485B"/>
    <w:rsid w:val="00D75CDD"/>
    <w:rsid w:val="00D77B1D"/>
    <w:rsid w:val="00D8021F"/>
    <w:rsid w:val="00D8025A"/>
    <w:rsid w:val="00D80383"/>
    <w:rsid w:val="00D823C6"/>
    <w:rsid w:val="00D8327F"/>
    <w:rsid w:val="00D842EE"/>
    <w:rsid w:val="00D85ABF"/>
    <w:rsid w:val="00D8639D"/>
    <w:rsid w:val="00D86728"/>
    <w:rsid w:val="00D86CA3"/>
    <w:rsid w:val="00D871CE"/>
    <w:rsid w:val="00D906CC"/>
    <w:rsid w:val="00D91260"/>
    <w:rsid w:val="00D9196D"/>
    <w:rsid w:val="00D92982"/>
    <w:rsid w:val="00D97279"/>
    <w:rsid w:val="00DA0A81"/>
    <w:rsid w:val="00DA1CF3"/>
    <w:rsid w:val="00DA233D"/>
    <w:rsid w:val="00DA2977"/>
    <w:rsid w:val="00DA305E"/>
    <w:rsid w:val="00DA4EF9"/>
    <w:rsid w:val="00DA52A1"/>
    <w:rsid w:val="00DA5417"/>
    <w:rsid w:val="00DA56E8"/>
    <w:rsid w:val="00DA7536"/>
    <w:rsid w:val="00DB050F"/>
    <w:rsid w:val="00DB0A9F"/>
    <w:rsid w:val="00DB2FE3"/>
    <w:rsid w:val="00DB31EB"/>
    <w:rsid w:val="00DB377D"/>
    <w:rsid w:val="00DB4742"/>
    <w:rsid w:val="00DB6D05"/>
    <w:rsid w:val="00DB751D"/>
    <w:rsid w:val="00DB7DE6"/>
    <w:rsid w:val="00DC2D36"/>
    <w:rsid w:val="00DC3F2B"/>
    <w:rsid w:val="00DC53EF"/>
    <w:rsid w:val="00DC5BF1"/>
    <w:rsid w:val="00DC7169"/>
    <w:rsid w:val="00DC77B8"/>
    <w:rsid w:val="00DC7A5D"/>
    <w:rsid w:val="00DD02CF"/>
    <w:rsid w:val="00DD1412"/>
    <w:rsid w:val="00DD2C73"/>
    <w:rsid w:val="00DD2E23"/>
    <w:rsid w:val="00DD64DC"/>
    <w:rsid w:val="00DE0FC6"/>
    <w:rsid w:val="00DE18FD"/>
    <w:rsid w:val="00DE41BF"/>
    <w:rsid w:val="00DE51BB"/>
    <w:rsid w:val="00DE5608"/>
    <w:rsid w:val="00DE58D0"/>
    <w:rsid w:val="00DE654F"/>
    <w:rsid w:val="00DF0B6E"/>
    <w:rsid w:val="00DF15E0"/>
    <w:rsid w:val="00DF1740"/>
    <w:rsid w:val="00DF2152"/>
    <w:rsid w:val="00DF349D"/>
    <w:rsid w:val="00DF36FA"/>
    <w:rsid w:val="00DF37A0"/>
    <w:rsid w:val="00DF37F0"/>
    <w:rsid w:val="00DF6009"/>
    <w:rsid w:val="00DF71D1"/>
    <w:rsid w:val="00DF75F0"/>
    <w:rsid w:val="00E04C34"/>
    <w:rsid w:val="00E104BE"/>
    <w:rsid w:val="00E110E7"/>
    <w:rsid w:val="00E11B20"/>
    <w:rsid w:val="00E14A76"/>
    <w:rsid w:val="00E16E1D"/>
    <w:rsid w:val="00E16FAA"/>
    <w:rsid w:val="00E17FA2"/>
    <w:rsid w:val="00E2046D"/>
    <w:rsid w:val="00E20790"/>
    <w:rsid w:val="00E220F4"/>
    <w:rsid w:val="00E22330"/>
    <w:rsid w:val="00E24CE2"/>
    <w:rsid w:val="00E2671C"/>
    <w:rsid w:val="00E279A6"/>
    <w:rsid w:val="00E30495"/>
    <w:rsid w:val="00E30B5A"/>
    <w:rsid w:val="00E3123D"/>
    <w:rsid w:val="00E312C5"/>
    <w:rsid w:val="00E31461"/>
    <w:rsid w:val="00E31A0A"/>
    <w:rsid w:val="00E31D43"/>
    <w:rsid w:val="00E32608"/>
    <w:rsid w:val="00E34188"/>
    <w:rsid w:val="00E3455F"/>
    <w:rsid w:val="00E34B6E"/>
    <w:rsid w:val="00E34D3D"/>
    <w:rsid w:val="00E35559"/>
    <w:rsid w:val="00E360C7"/>
    <w:rsid w:val="00E3723A"/>
    <w:rsid w:val="00E37860"/>
    <w:rsid w:val="00E40961"/>
    <w:rsid w:val="00E40B60"/>
    <w:rsid w:val="00E42D93"/>
    <w:rsid w:val="00E443E0"/>
    <w:rsid w:val="00E4443A"/>
    <w:rsid w:val="00E446F1"/>
    <w:rsid w:val="00E46886"/>
    <w:rsid w:val="00E47AEF"/>
    <w:rsid w:val="00E5027B"/>
    <w:rsid w:val="00E50F08"/>
    <w:rsid w:val="00E52586"/>
    <w:rsid w:val="00E53B75"/>
    <w:rsid w:val="00E54E3B"/>
    <w:rsid w:val="00E55EF0"/>
    <w:rsid w:val="00E57565"/>
    <w:rsid w:val="00E57A21"/>
    <w:rsid w:val="00E6035C"/>
    <w:rsid w:val="00E60B9B"/>
    <w:rsid w:val="00E61866"/>
    <w:rsid w:val="00E63838"/>
    <w:rsid w:val="00E64434"/>
    <w:rsid w:val="00E64489"/>
    <w:rsid w:val="00E67C51"/>
    <w:rsid w:val="00E70028"/>
    <w:rsid w:val="00E702D4"/>
    <w:rsid w:val="00E71583"/>
    <w:rsid w:val="00E71E5D"/>
    <w:rsid w:val="00E72EE3"/>
    <w:rsid w:val="00E72EFC"/>
    <w:rsid w:val="00E739EA"/>
    <w:rsid w:val="00E744D8"/>
    <w:rsid w:val="00E758EC"/>
    <w:rsid w:val="00E75BD1"/>
    <w:rsid w:val="00E77980"/>
    <w:rsid w:val="00E8008B"/>
    <w:rsid w:val="00E800BD"/>
    <w:rsid w:val="00E802DB"/>
    <w:rsid w:val="00E8234C"/>
    <w:rsid w:val="00E82961"/>
    <w:rsid w:val="00E83AA9"/>
    <w:rsid w:val="00E8464E"/>
    <w:rsid w:val="00E84B79"/>
    <w:rsid w:val="00E84D37"/>
    <w:rsid w:val="00E85928"/>
    <w:rsid w:val="00E87822"/>
    <w:rsid w:val="00E879B6"/>
    <w:rsid w:val="00E901A3"/>
    <w:rsid w:val="00E90395"/>
    <w:rsid w:val="00E90E49"/>
    <w:rsid w:val="00E917F9"/>
    <w:rsid w:val="00E9268A"/>
    <w:rsid w:val="00E9291C"/>
    <w:rsid w:val="00E93FFE"/>
    <w:rsid w:val="00E94AFB"/>
    <w:rsid w:val="00E94F8A"/>
    <w:rsid w:val="00E958C2"/>
    <w:rsid w:val="00E967C2"/>
    <w:rsid w:val="00EA0937"/>
    <w:rsid w:val="00EA1CD5"/>
    <w:rsid w:val="00EA325C"/>
    <w:rsid w:val="00EA3A42"/>
    <w:rsid w:val="00EA58E8"/>
    <w:rsid w:val="00EA6377"/>
    <w:rsid w:val="00EA6FC6"/>
    <w:rsid w:val="00EA7A41"/>
    <w:rsid w:val="00EB077B"/>
    <w:rsid w:val="00EB083A"/>
    <w:rsid w:val="00EB1297"/>
    <w:rsid w:val="00EB46B1"/>
    <w:rsid w:val="00EB4EA2"/>
    <w:rsid w:val="00EB4ED5"/>
    <w:rsid w:val="00EB5953"/>
    <w:rsid w:val="00EB6300"/>
    <w:rsid w:val="00EC0D6E"/>
    <w:rsid w:val="00EC194A"/>
    <w:rsid w:val="00EC24D5"/>
    <w:rsid w:val="00EC27C6"/>
    <w:rsid w:val="00EC2CCF"/>
    <w:rsid w:val="00EC3C1B"/>
    <w:rsid w:val="00EC41EB"/>
    <w:rsid w:val="00EC4207"/>
    <w:rsid w:val="00EC51AA"/>
    <w:rsid w:val="00EC5653"/>
    <w:rsid w:val="00EC71CE"/>
    <w:rsid w:val="00EC7266"/>
    <w:rsid w:val="00EC76BB"/>
    <w:rsid w:val="00ED1006"/>
    <w:rsid w:val="00ED1FDA"/>
    <w:rsid w:val="00ED29BF"/>
    <w:rsid w:val="00ED3BC4"/>
    <w:rsid w:val="00ED589D"/>
    <w:rsid w:val="00ED73B9"/>
    <w:rsid w:val="00ED7AA2"/>
    <w:rsid w:val="00EE091D"/>
    <w:rsid w:val="00EE1DD7"/>
    <w:rsid w:val="00EE2E03"/>
    <w:rsid w:val="00EE2F0E"/>
    <w:rsid w:val="00EE369F"/>
    <w:rsid w:val="00EE4500"/>
    <w:rsid w:val="00EF18FE"/>
    <w:rsid w:val="00EF2BD6"/>
    <w:rsid w:val="00EF47D8"/>
    <w:rsid w:val="00EF5787"/>
    <w:rsid w:val="00EF60D0"/>
    <w:rsid w:val="00F0178F"/>
    <w:rsid w:val="00F048E5"/>
    <w:rsid w:val="00F04D64"/>
    <w:rsid w:val="00F04E16"/>
    <w:rsid w:val="00F0513A"/>
    <w:rsid w:val="00F0528D"/>
    <w:rsid w:val="00F057AE"/>
    <w:rsid w:val="00F058D8"/>
    <w:rsid w:val="00F06B56"/>
    <w:rsid w:val="00F06C67"/>
    <w:rsid w:val="00F06CE9"/>
    <w:rsid w:val="00F06DFD"/>
    <w:rsid w:val="00F071D1"/>
    <w:rsid w:val="00F07478"/>
    <w:rsid w:val="00F07533"/>
    <w:rsid w:val="00F10629"/>
    <w:rsid w:val="00F107FF"/>
    <w:rsid w:val="00F11015"/>
    <w:rsid w:val="00F12809"/>
    <w:rsid w:val="00F1302B"/>
    <w:rsid w:val="00F13F3D"/>
    <w:rsid w:val="00F15280"/>
    <w:rsid w:val="00F15FA5"/>
    <w:rsid w:val="00F162E3"/>
    <w:rsid w:val="00F209B7"/>
    <w:rsid w:val="00F21211"/>
    <w:rsid w:val="00F2126F"/>
    <w:rsid w:val="00F21ACE"/>
    <w:rsid w:val="00F2376F"/>
    <w:rsid w:val="00F243D8"/>
    <w:rsid w:val="00F243F7"/>
    <w:rsid w:val="00F26ED3"/>
    <w:rsid w:val="00F3010E"/>
    <w:rsid w:val="00F30828"/>
    <w:rsid w:val="00F30BD4"/>
    <w:rsid w:val="00F31331"/>
    <w:rsid w:val="00F313D6"/>
    <w:rsid w:val="00F34B38"/>
    <w:rsid w:val="00F40F0C"/>
    <w:rsid w:val="00F42109"/>
    <w:rsid w:val="00F44964"/>
    <w:rsid w:val="00F45B66"/>
    <w:rsid w:val="00F45BBE"/>
    <w:rsid w:val="00F4766C"/>
    <w:rsid w:val="00F5060E"/>
    <w:rsid w:val="00F507D1"/>
    <w:rsid w:val="00F5089C"/>
    <w:rsid w:val="00F519CE"/>
    <w:rsid w:val="00F51ADA"/>
    <w:rsid w:val="00F53471"/>
    <w:rsid w:val="00F544D4"/>
    <w:rsid w:val="00F54AD7"/>
    <w:rsid w:val="00F55435"/>
    <w:rsid w:val="00F56989"/>
    <w:rsid w:val="00F60203"/>
    <w:rsid w:val="00F60354"/>
    <w:rsid w:val="00F60528"/>
    <w:rsid w:val="00F607C5"/>
    <w:rsid w:val="00F60DEA"/>
    <w:rsid w:val="00F62639"/>
    <w:rsid w:val="00F6302A"/>
    <w:rsid w:val="00F63950"/>
    <w:rsid w:val="00F64073"/>
    <w:rsid w:val="00F64876"/>
    <w:rsid w:val="00F64C2B"/>
    <w:rsid w:val="00F651BE"/>
    <w:rsid w:val="00F65D61"/>
    <w:rsid w:val="00F660F3"/>
    <w:rsid w:val="00F67E2A"/>
    <w:rsid w:val="00F67F53"/>
    <w:rsid w:val="00F703BE"/>
    <w:rsid w:val="00F71F69"/>
    <w:rsid w:val="00F72B72"/>
    <w:rsid w:val="00F72BAA"/>
    <w:rsid w:val="00F74BB9"/>
    <w:rsid w:val="00F75582"/>
    <w:rsid w:val="00F75D53"/>
    <w:rsid w:val="00F76A3F"/>
    <w:rsid w:val="00F76EFA"/>
    <w:rsid w:val="00F7718F"/>
    <w:rsid w:val="00F771AA"/>
    <w:rsid w:val="00F773EC"/>
    <w:rsid w:val="00F804BE"/>
    <w:rsid w:val="00F817CE"/>
    <w:rsid w:val="00F82E42"/>
    <w:rsid w:val="00F8456C"/>
    <w:rsid w:val="00F854A4"/>
    <w:rsid w:val="00F859D8"/>
    <w:rsid w:val="00F868F5"/>
    <w:rsid w:val="00F87399"/>
    <w:rsid w:val="00F9056A"/>
    <w:rsid w:val="00F90F8D"/>
    <w:rsid w:val="00F91714"/>
    <w:rsid w:val="00F91A22"/>
    <w:rsid w:val="00F920DC"/>
    <w:rsid w:val="00F92782"/>
    <w:rsid w:val="00F9318A"/>
    <w:rsid w:val="00F93AA9"/>
    <w:rsid w:val="00F9440C"/>
    <w:rsid w:val="00F96985"/>
    <w:rsid w:val="00F97838"/>
    <w:rsid w:val="00FA07CA"/>
    <w:rsid w:val="00FA0D26"/>
    <w:rsid w:val="00FA1328"/>
    <w:rsid w:val="00FA1530"/>
    <w:rsid w:val="00FA2BB3"/>
    <w:rsid w:val="00FA43AE"/>
    <w:rsid w:val="00FA508C"/>
    <w:rsid w:val="00FB27AE"/>
    <w:rsid w:val="00FB4868"/>
    <w:rsid w:val="00FB4C80"/>
    <w:rsid w:val="00FB58FA"/>
    <w:rsid w:val="00FB66B7"/>
    <w:rsid w:val="00FB680A"/>
    <w:rsid w:val="00FB6A6A"/>
    <w:rsid w:val="00FB723A"/>
    <w:rsid w:val="00FB7845"/>
    <w:rsid w:val="00FC0B06"/>
    <w:rsid w:val="00FC0FC7"/>
    <w:rsid w:val="00FC27F9"/>
    <w:rsid w:val="00FC7429"/>
    <w:rsid w:val="00FC7467"/>
    <w:rsid w:val="00FC75A6"/>
    <w:rsid w:val="00FD07F6"/>
    <w:rsid w:val="00FD1271"/>
    <w:rsid w:val="00FD1779"/>
    <w:rsid w:val="00FD1EC8"/>
    <w:rsid w:val="00FD390E"/>
    <w:rsid w:val="00FD47ED"/>
    <w:rsid w:val="00FD5E03"/>
    <w:rsid w:val="00FD6233"/>
    <w:rsid w:val="00FD66E7"/>
    <w:rsid w:val="00FD6EFE"/>
    <w:rsid w:val="00FD74DB"/>
    <w:rsid w:val="00FD7660"/>
    <w:rsid w:val="00FE0655"/>
    <w:rsid w:val="00FE1E05"/>
    <w:rsid w:val="00FE222F"/>
    <w:rsid w:val="00FE22B8"/>
    <w:rsid w:val="00FE2365"/>
    <w:rsid w:val="00FE37A1"/>
    <w:rsid w:val="00FE37D7"/>
    <w:rsid w:val="00FE3C98"/>
    <w:rsid w:val="00FE426F"/>
    <w:rsid w:val="00FE4C7B"/>
    <w:rsid w:val="00FE5C8C"/>
    <w:rsid w:val="00FE6DF6"/>
    <w:rsid w:val="00FE7336"/>
    <w:rsid w:val="00FE787C"/>
    <w:rsid w:val="00FE7D40"/>
    <w:rsid w:val="00FF0DC4"/>
    <w:rsid w:val="00FF11CD"/>
    <w:rsid w:val="00FF22D8"/>
    <w:rsid w:val="00FF272A"/>
    <w:rsid w:val="00FF2863"/>
    <w:rsid w:val="00FF45A5"/>
    <w:rsid w:val="00FF5247"/>
    <w:rsid w:val="00FF5898"/>
    <w:rsid w:val="00FF58D8"/>
    <w:rsid w:val="00FF5C91"/>
    <w:rsid w:val="00FF6721"/>
    <w:rsid w:val="00FF6B86"/>
    <w:rsid w:val="00FF740E"/>
    <w:rsid w:val="00FF7969"/>
    <w:rsid w:val="3E048CB2"/>
    <w:rsid w:val="69BE3142"/>
    <w:rsid w:val="6F9CF8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A6F282B3-1518-4920-AD05-CDF037CCF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033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rsid w:val="007E03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033F"/>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spacing w:after="0"/>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spacing w:after="0"/>
      <w:ind w:left="454" w:hanging="454"/>
    </w:pPr>
    <w:rPr>
      <w:sz w:val="16"/>
    </w:rPr>
  </w:style>
  <w:style w:type="paragraph" w:customStyle="1" w:styleId="3GPPHeader">
    <w:name w:val="3GPP_Header"/>
    <w:basedOn w:val="BodyText"/>
    <w:rsid w:val="007141EE"/>
    <w:pPr>
      <w:tabs>
        <w:tab w:val="left" w:pos="1701"/>
        <w:tab w:val="right" w:pos="9639"/>
      </w:tabs>
      <w:spacing w:after="240"/>
    </w:pPr>
    <w:rPr>
      <w:b/>
      <w:sz w:val="24"/>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rPr>
      <w:noProof/>
    </w:r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pPr>
      <w:spacing w:after="0"/>
    </w:pPr>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rFonts w:ascii="Arial" w:hAnsi="Arial"/>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pPr>
      <w:spacing w:after="0"/>
    </w:pPr>
  </w:style>
  <w:style w:type="paragraph" w:customStyle="1" w:styleId="TAL">
    <w:name w:val="TAL"/>
    <w:basedOn w:val="Normal"/>
    <w:link w:val="TALCar"/>
    <w:rsid w:val="007141EE"/>
    <w:pPr>
      <w:keepNext/>
      <w:keepLines/>
      <w:spacing w:after="0"/>
    </w:pPr>
    <w:rPr>
      <w:rFonts w:ascii="Arial" w:hAnsi="Arial"/>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rFonts w:ascii="Arial" w:hAnsi="Arial"/>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pPr>
      <w:spacing w:after="0"/>
    </w:pPr>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hAnsi="Segoe UI" w:cs="Segoe UI"/>
      <w:sz w:val="18"/>
      <w:szCs w:val="18"/>
      <w:lang w:eastAsia="ja-JP"/>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141EE"/>
    <w:rPr>
      <w:rFonts w:ascii="Arial" w:eastAsia="MS Mincho" w:hAnsi="Arial"/>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after="0"/>
    </w:pPr>
    <w:rPr>
      <w:rFonts w:ascii="Arial" w:eastAsia="MS Mincho" w:hAnsi="Arial"/>
      <w:b/>
      <w:szCs w:val="24"/>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imes New Roman" w:hAnsi="Times New Roman"/>
      <w:sz w:val="16"/>
      <w:lang w:eastAsia="ja-JP"/>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141EE"/>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7141EE"/>
    <w:rPr>
      <w:rFonts w:ascii="Calibri" w:eastAsia="Calibri" w:hAnsi="Calibri"/>
      <w:sz w:val="22"/>
      <w:szCs w:val="22"/>
      <w:lang w:val="x-none" w:eastAsia="en-US"/>
    </w:rPr>
  </w:style>
  <w:style w:type="paragraph" w:customStyle="1" w:styleId="NF">
    <w:name w:val="NF"/>
    <w:basedOn w:val="NO"/>
    <w:rsid w:val="007141EE"/>
    <w:pPr>
      <w:keepNext/>
      <w:spacing w:after="0"/>
    </w:pPr>
    <w:rPr>
      <w:rFonts w:ascii="Arial" w:hAnsi="Arial"/>
      <w:sz w:val="18"/>
    </w:rPr>
  </w:style>
  <w:style w:type="paragraph" w:customStyle="1" w:styleId="NW">
    <w:name w:val="NW"/>
    <w:basedOn w:val="NO"/>
    <w:rsid w:val="007141EE"/>
    <w:pPr>
      <w:spacing w:after="0"/>
    </w:pPr>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hAnsi="Arial"/>
      <w:sz w:val="18"/>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141EE"/>
    <w:rPr>
      <w:rFonts w:ascii="Arial" w:eastAsia="Malgun Gothic" w:hAnsi="Arial"/>
      <w:sz w:val="18"/>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rPr>
      <w:rFonts w:ascii="Arial" w:hAnsi="Arial"/>
    </w:rPr>
  </w:style>
  <w:style w:type="paragraph" w:styleId="ListContinue2">
    <w:name w:val="List Continue 2"/>
    <w:basedOn w:val="Normal"/>
    <w:rsid w:val="007141EE"/>
    <w:pPr>
      <w:spacing w:after="120"/>
      <w:ind w:left="566"/>
      <w:contextualSpacing/>
    </w:pPr>
    <w:rPr>
      <w:rFonts w:ascii="Arial" w:hAnsi="Arial"/>
    </w:r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4"/>
      </w:numPr>
      <w:tabs>
        <w:tab w:val="clear" w:pos="2203"/>
        <w:tab w:val="num" w:pos="1619"/>
      </w:tabs>
      <w:spacing w:before="60" w:after="0"/>
      <w:ind w:left="1619"/>
    </w:pPr>
    <w:rPr>
      <w:rFonts w:ascii="Arial" w:eastAsia="MS Mincho" w:hAnsi="Arial"/>
      <w:b/>
      <w:szCs w:val="24"/>
      <w:lang w:eastAsia="en-G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612787757">
      <w:bodyDiv w:val="1"/>
      <w:marLeft w:val="0"/>
      <w:marRight w:val="0"/>
      <w:marTop w:val="0"/>
      <w:marBottom w:val="0"/>
      <w:divBdr>
        <w:top w:val="none" w:sz="0" w:space="0" w:color="auto"/>
        <w:left w:val="none" w:sz="0" w:space="0" w:color="auto"/>
        <w:bottom w:val="none" w:sz="0" w:space="0" w:color="auto"/>
        <w:right w:val="none" w:sz="0" w:space="0" w:color="auto"/>
      </w:divBdr>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5NUHHDQN7SK2-1476151046-47637</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https://ericsson.sharepoint.com/sites/star/_layouts/15/DocIdRedir.aspx?ID=5NUHHDQN7SK2-1476151046-47637</Url>
      <Description>5NUHHDQN7SK2-1476151046-47637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5BD7C-264A-4DB6-B546-3FA064E36AD6}">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3.xml><?xml version="1.0" encoding="utf-8"?>
<ds:datastoreItem xmlns:ds="http://schemas.openxmlformats.org/officeDocument/2006/customXml" ds:itemID="{604520C0-AEEC-4519-83C6-88357BB6B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6A18A7-B7A8-4129-AFF0-56881D21D300}">
  <ds:schemaRefs>
    <ds:schemaRef ds:uri="Microsoft.SharePoint.Taxonomy.ContentTypeSync"/>
  </ds:schemaRefs>
</ds:datastoreItem>
</file>

<file path=customXml/itemProps5.xml><?xml version="1.0" encoding="utf-8"?>
<ds:datastoreItem xmlns:ds="http://schemas.openxmlformats.org/officeDocument/2006/customXml" ds:itemID="{99D22FDB-6727-4C58-B3B2-1357F56666B1}">
  <ds:schemaRefs>
    <ds:schemaRef ds:uri="http://schemas.microsoft.com/sharepoint/events"/>
  </ds:schemaRefs>
</ds:datastoreItem>
</file>

<file path=customXml/itemProps6.xml><?xml version="1.0" encoding="utf-8"?>
<ds:datastoreItem xmlns:ds="http://schemas.openxmlformats.org/officeDocument/2006/customXml" ds:itemID="{B9786AA5-6E95-4B0D-866F-DECA80C9B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6</Pages>
  <Words>2211</Words>
  <Characters>11337</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Ericsson</cp:lastModifiedBy>
  <cp:revision>1180</cp:revision>
  <cp:lastPrinted>2008-01-31T09:09:00Z</cp:lastPrinted>
  <dcterms:created xsi:type="dcterms:W3CDTF">2018-10-21T16:32:00Z</dcterms:created>
  <dcterms:modified xsi:type="dcterms:W3CDTF">2019-05-03T02:08:00Z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db29fd63-46e9-4043-a42e-de3270bdf5d2</vt:lpwstr>
  </property>
  <property fmtid="{D5CDD505-2E9C-101B-9397-08002B2CF9AE}" pid="13" name="EriCOLLProjects">
    <vt:lpwstr/>
  </property>
  <property fmtid="{D5CDD505-2E9C-101B-9397-08002B2CF9AE}" pid="14" name="AuthorIds_UIVersion_2048">
    <vt:lpwstr>347</vt:lpwstr>
  </property>
  <property fmtid="{D5CDD505-2E9C-101B-9397-08002B2CF9AE}" pid="15" name="AuthorIds_UIVersion_2560">
    <vt:lpwstr>1059</vt:lpwstr>
  </property>
  <property fmtid="{D5CDD505-2E9C-101B-9397-08002B2CF9AE}" pid="16" name="AuthorIds_UIVersion_3072">
    <vt:lpwstr>291</vt:lpwstr>
  </property>
  <property fmtid="{D5CDD505-2E9C-101B-9397-08002B2CF9AE}" pid="17" name="AuthorIds_UIVersion_3584">
    <vt:lpwstr>1059</vt:lpwstr>
  </property>
  <property fmtid="{D5CDD505-2E9C-101B-9397-08002B2CF9AE}" pid="18" name="AuthorIds_UIVersion_4096">
    <vt:lpwstr>291</vt:lpwstr>
  </property>
  <property fmtid="{D5CDD505-2E9C-101B-9397-08002B2CF9AE}" pid="19" name="AuthorIds_UIVersion_4608">
    <vt:lpwstr>1059</vt:lpwstr>
  </property>
  <property fmtid="{D5CDD505-2E9C-101B-9397-08002B2CF9AE}" pid="20" name="AuthorIds_UIVersion_5120">
    <vt:lpwstr>136</vt:lpwstr>
  </property>
  <property fmtid="{D5CDD505-2E9C-101B-9397-08002B2CF9AE}" pid="21" name="AuthorIds_UIVersion_5632">
    <vt:lpwstr>1059</vt:lpwstr>
  </property>
  <property fmtid="{D5CDD505-2E9C-101B-9397-08002B2CF9AE}" pid="22" name="AuthorIds_UIVersion_6144">
    <vt:lpwstr>291</vt:lpwstr>
  </property>
  <property fmtid="{D5CDD505-2E9C-101B-9397-08002B2CF9AE}" pid="23" name="AuthorIds_UIVersion_7168">
    <vt:lpwstr>136</vt:lpwstr>
  </property>
  <property fmtid="{D5CDD505-2E9C-101B-9397-08002B2CF9AE}" pid="24" name="AuthorIds_UIVersion_9728">
    <vt:lpwstr>136</vt:lpwstr>
  </property>
  <property fmtid="{D5CDD505-2E9C-101B-9397-08002B2CF9AE}" pid="25" name="AuthorIds_UIVersion_10240">
    <vt:lpwstr>136</vt:lpwstr>
  </property>
  <property fmtid="{D5CDD505-2E9C-101B-9397-08002B2CF9AE}" pid="26" name="AuthorIds_UIVersion_10752">
    <vt:lpwstr>106</vt:lpwstr>
  </property>
  <property fmtid="{D5CDD505-2E9C-101B-9397-08002B2CF9AE}" pid="27" name="AuthorIds_UIVersion_11264">
    <vt:lpwstr>136</vt:lpwstr>
  </property>
  <property fmtid="{D5CDD505-2E9C-101B-9397-08002B2CF9AE}" pid="28" name="AuthorIds_UIVersion_11776">
    <vt:lpwstr>106</vt:lpwstr>
  </property>
  <property fmtid="{D5CDD505-2E9C-101B-9397-08002B2CF9AE}" pid="29" name="AuthorIds_UIVersion_12288">
    <vt:lpwstr>326</vt:lpwstr>
  </property>
  <property fmtid="{D5CDD505-2E9C-101B-9397-08002B2CF9AE}" pid="30" name="AuthorIds_UIVersion_12800">
    <vt:lpwstr>326</vt:lpwstr>
  </property>
  <property fmtid="{D5CDD505-2E9C-101B-9397-08002B2CF9AE}" pid="31" name="AuthorIds_UIVersion_13312">
    <vt:lpwstr>291</vt:lpwstr>
  </property>
  <property fmtid="{D5CDD505-2E9C-101B-9397-08002B2CF9AE}" pid="32" name="AuthorIds_UIVersion_14336">
    <vt:lpwstr>291</vt:lpwstr>
  </property>
  <property fmtid="{D5CDD505-2E9C-101B-9397-08002B2CF9AE}" pid="33" name="AuthorIds_UIVersion_1536">
    <vt:lpwstr>291</vt:lpwstr>
  </property>
</Properties>
</file>